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24" w:rsidRPr="00EC4124" w:rsidRDefault="00B80524" w:rsidP="00B80524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 w:rsidRPr="00EC4124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SZCZEGÓŁOWE WARUNKI I SPOSOBY OCENIANIA Z FIZYKI </w:t>
      </w:r>
    </w:p>
    <w:p w:rsidR="00B80524" w:rsidRPr="00EC4124" w:rsidRDefault="00B80524" w:rsidP="00B80524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EC4124">
        <w:rPr>
          <w:rFonts w:ascii="Arial" w:hAnsi="Arial" w:cs="Arial"/>
          <w:b/>
          <w:bCs/>
          <w:i w:val="0"/>
          <w:color w:val="000000"/>
          <w:sz w:val="24"/>
          <w:szCs w:val="24"/>
        </w:rPr>
        <w:t>W KLASIE 7 SZKOŁY PODSTAWOWEJ</w:t>
      </w:r>
    </w:p>
    <w:p w:rsidR="00B80524" w:rsidRPr="00EC4124" w:rsidRDefault="00B80524" w:rsidP="00B80524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EC4124">
        <w:rPr>
          <w:rFonts w:ascii="Arial" w:hAnsi="Arial" w:cs="Arial"/>
          <w:b/>
          <w:bCs/>
          <w:i w:val="0"/>
          <w:color w:val="000000"/>
          <w:sz w:val="24"/>
          <w:szCs w:val="24"/>
        </w:rPr>
        <w:t>ZESPÓŁ SZKÓŁ W PRZEWROTNEM</w:t>
      </w:r>
    </w:p>
    <w:p w:rsidR="00B80524" w:rsidRPr="00EC4124" w:rsidRDefault="00B80524" w:rsidP="00B80524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EC4124">
        <w:rPr>
          <w:rFonts w:ascii="Arial" w:hAnsi="Arial" w:cs="Arial"/>
          <w:b/>
          <w:bCs/>
          <w:i w:val="0"/>
          <w:color w:val="000000"/>
          <w:sz w:val="24"/>
          <w:szCs w:val="24"/>
        </w:rPr>
        <w:t>Nauczyciel: Anna Dworak</w:t>
      </w:r>
    </w:p>
    <w:p w:rsidR="00B80524" w:rsidRPr="00EC4124" w:rsidRDefault="00B80524" w:rsidP="00B80524">
      <w:pPr>
        <w:pStyle w:val="Tekstpodstawowy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</w:p>
    <w:p w:rsidR="00B80524" w:rsidRPr="00EC4124" w:rsidRDefault="00B80524" w:rsidP="00B80524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1.      Ocenianiu podlegać będą: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wypowiedzi ustne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sprawdziany pisemne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kartkówki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prace domowe, zadania, referaty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aktywność na lekcji, przygotowanie do lekcji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prace dodatkowe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udział w konkursach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         zeszyty przedmiotowe i zeszyty ćwiczeń (jeśli są wprowadzone)</w:t>
      </w:r>
    </w:p>
    <w:p w:rsidR="00B80524" w:rsidRPr="00EC4124" w:rsidRDefault="00B805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-         inne aktywności ucznia</w:t>
      </w:r>
    </w:p>
    <w:p w:rsidR="00B80524" w:rsidRPr="00EC4124" w:rsidRDefault="00B80524" w:rsidP="00B80524">
      <w:pPr>
        <w:pStyle w:val="Tekstpodstawowy"/>
        <w:rPr>
          <w:rFonts w:ascii="Arial" w:hAnsi="Arial" w:cs="Arial"/>
          <w:i w:val="0"/>
          <w:sz w:val="24"/>
          <w:szCs w:val="24"/>
        </w:rPr>
      </w:pPr>
    </w:p>
    <w:p w:rsidR="00B80524" w:rsidRPr="00EC4124" w:rsidRDefault="00B80524" w:rsidP="00B80524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2.      W przypadku oceniania prac pisemnych w tym także zadań nauczyciel bierze pod uwagę:</w:t>
      </w:r>
    </w:p>
    <w:p w:rsidR="00B80524" w:rsidRPr="00EC4124" w:rsidRDefault="00EC41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   </w:t>
      </w:r>
      <w:r w:rsidR="00B80524" w:rsidRPr="00EC4124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>amodzielność wykonanej pracy, </w:t>
      </w:r>
      <w:r w:rsidR="00B80524" w:rsidRPr="00EC4124">
        <w:rPr>
          <w:rFonts w:ascii="Arial" w:hAnsi="Arial" w:cs="Arial"/>
          <w:i w:val="0"/>
          <w:sz w:val="24"/>
          <w:szCs w:val="24"/>
        </w:rPr>
        <w:t>spójność treści pracy z jej tematem,  estetykę pracy, umiejętność korzystania z literatury.</w:t>
      </w:r>
    </w:p>
    <w:p w:rsidR="00B80524" w:rsidRPr="00EC4124" w:rsidRDefault="00B80524" w:rsidP="00B80524">
      <w:pPr>
        <w:pStyle w:val="Tekstpodstawowy"/>
        <w:ind w:left="720" w:hanging="360"/>
        <w:rPr>
          <w:rFonts w:ascii="Arial" w:hAnsi="Arial" w:cs="Arial"/>
          <w:i w:val="0"/>
          <w:sz w:val="24"/>
          <w:szCs w:val="24"/>
        </w:rPr>
      </w:pPr>
      <w:r w:rsidRPr="00EC4124">
        <w:rPr>
          <w:rFonts w:ascii="Arial" w:hAnsi="Arial" w:cs="Arial"/>
          <w:i w:val="0"/>
          <w:sz w:val="24"/>
          <w:szCs w:val="24"/>
        </w:rPr>
        <w:t>3.      W przypadku oceny zeszytu nauczyciel bierze pod uwagą:</w:t>
      </w:r>
    </w:p>
    <w:p w:rsidR="00B80524" w:rsidRPr="00EC4124" w:rsidRDefault="00EC4124" w:rsidP="00B80524">
      <w:pPr>
        <w:pStyle w:val="Tekstpodstawowy"/>
        <w:ind w:left="1440" w:hanging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-   estetykę zeszytu, </w:t>
      </w:r>
      <w:r w:rsidR="00B80524" w:rsidRPr="00EC4124">
        <w:rPr>
          <w:rFonts w:ascii="Arial" w:hAnsi="Arial" w:cs="Arial"/>
          <w:i w:val="0"/>
          <w:sz w:val="24"/>
          <w:szCs w:val="24"/>
        </w:rPr>
        <w:t>kompletność notatek wykonanych na lekcji, sposób wykorzystania materiałów otrzymanych od nauczyciela (staranność wklejenia, prawidłowy</w:t>
      </w:r>
      <w:r w:rsidRPr="00EC4124">
        <w:rPr>
          <w:rFonts w:ascii="Arial" w:hAnsi="Arial" w:cs="Arial"/>
          <w:i w:val="0"/>
          <w:sz w:val="24"/>
          <w:szCs w:val="24"/>
        </w:rPr>
        <w:t xml:space="preserve"> opis  rysunków, schematów etc.</w:t>
      </w:r>
      <w:r w:rsidR="00B80524" w:rsidRPr="00EC4124">
        <w:rPr>
          <w:rFonts w:ascii="Arial" w:hAnsi="Arial" w:cs="Arial"/>
          <w:i w:val="0"/>
          <w:sz w:val="24"/>
          <w:szCs w:val="24"/>
        </w:rPr>
        <w:t>)</w:t>
      </w:r>
    </w:p>
    <w:p w:rsidR="00B80524" w:rsidRPr="00EC4124" w:rsidRDefault="00B80524" w:rsidP="00B80524">
      <w:pPr>
        <w:ind w:left="360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W przypadku braku zeszytu na lekcji uczeń jest zobowiązany sporządzać na bieżąco  notatkę tak, aby nie trzeba było pożyczać zeszytu od innego ucznia w celu jej uzupełnienia.</w:t>
      </w:r>
    </w:p>
    <w:p w:rsidR="00B80524" w:rsidRPr="00EC4124" w:rsidRDefault="00B80524" w:rsidP="00B80524">
      <w:pPr>
        <w:spacing w:before="280" w:after="280"/>
        <w:rPr>
          <w:rFonts w:ascii="Arial" w:hAnsi="Arial" w:cs="Arial"/>
          <w:b/>
          <w:bCs/>
          <w:sz w:val="24"/>
          <w:szCs w:val="24"/>
        </w:rPr>
      </w:pPr>
      <w:r w:rsidRPr="00EC4124">
        <w:rPr>
          <w:rFonts w:ascii="Arial" w:hAnsi="Arial" w:cs="Arial"/>
          <w:b/>
          <w:bCs/>
          <w:sz w:val="24"/>
          <w:szCs w:val="24"/>
        </w:rPr>
        <w:t>SPRAWDZIANY PISEMNE:</w:t>
      </w:r>
    </w:p>
    <w:p w:rsidR="00B80524" w:rsidRPr="00EC4124" w:rsidRDefault="00B80524" w:rsidP="0007704D">
      <w:pPr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Sprawdziany pisemne przeprowadzane są po zakończeniu każdego działu, mogą być również przeprowadzone przed zakończeniem półrocza lub na koniec roku szkolnego.</w:t>
      </w:r>
    </w:p>
    <w:p w:rsidR="00B80524" w:rsidRPr="00EC4124" w:rsidRDefault="00B80524" w:rsidP="0007704D">
      <w:pPr>
        <w:numPr>
          <w:ilvl w:val="0"/>
          <w:numId w:val="3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Sprawdzian po zakończeniu działu jest zapowiadany tydzień wcześniej i w miarę możliwości poprzedzony lekcją powtórzeniową. Nauczyciel informuje uczniów o zakresie materiału.</w:t>
      </w:r>
    </w:p>
    <w:p w:rsidR="00B80524" w:rsidRPr="00EC4124" w:rsidRDefault="00B80524" w:rsidP="00EC4124">
      <w:pPr>
        <w:numPr>
          <w:ilvl w:val="0"/>
          <w:numId w:val="3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Nauczyciel oddaje sprawdzone prace pisemne w terminie do 2 tygodni od daty napisania przez uczniów.</w:t>
      </w:r>
    </w:p>
    <w:p w:rsidR="00B80524" w:rsidRPr="00EC4124" w:rsidRDefault="00B80524" w:rsidP="00EC4124">
      <w:pPr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lastRenderedPageBreak/>
        <w:t>Sprawdziany i testy oceniane są według następującej normy: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-         100 % - celujący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 xml:space="preserve">- </w:t>
      </w:r>
      <w:r w:rsidR="006C7E8E" w:rsidRPr="00EC4124">
        <w:rPr>
          <w:rFonts w:ascii="Arial" w:hAnsi="Arial" w:cs="Arial"/>
          <w:b/>
          <w:sz w:val="24"/>
          <w:szCs w:val="24"/>
        </w:rPr>
        <w:t xml:space="preserve">     </w:t>
      </w:r>
      <w:r w:rsidRPr="00EC4124">
        <w:rPr>
          <w:rFonts w:ascii="Arial" w:hAnsi="Arial" w:cs="Arial"/>
          <w:b/>
          <w:sz w:val="24"/>
          <w:szCs w:val="24"/>
        </w:rPr>
        <w:t xml:space="preserve">  90 %  - 99%  - ocena bardzo dobra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-         89 % - 75 %  -  ocena dobra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-         74 % - 60 %  -  ocena dostateczna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-         59 % - 40 %  - ocena dopuszczająca</w:t>
      </w:r>
    </w:p>
    <w:p w:rsidR="00B80524" w:rsidRPr="00EC4124" w:rsidRDefault="00B80524" w:rsidP="00EC4124">
      <w:pPr>
        <w:spacing w:before="280" w:after="0"/>
        <w:ind w:left="1440" w:hanging="36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 xml:space="preserve">-         39 % - 0 %    - ocena niedostateczna </w:t>
      </w:r>
    </w:p>
    <w:p w:rsidR="00B80524" w:rsidRPr="00EC4124" w:rsidRDefault="00B80524" w:rsidP="0007704D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5.</w:t>
      </w:r>
      <w:r w:rsidRPr="00EC4124">
        <w:rPr>
          <w:rFonts w:ascii="Arial" w:hAnsi="Arial" w:cs="Arial"/>
          <w:b/>
          <w:sz w:val="24"/>
          <w:szCs w:val="24"/>
        </w:rPr>
        <w:t xml:space="preserve"> </w:t>
      </w:r>
      <w:r w:rsidRPr="00EC4124">
        <w:rPr>
          <w:rFonts w:ascii="Arial" w:hAnsi="Arial" w:cs="Arial"/>
          <w:sz w:val="24"/>
          <w:szCs w:val="24"/>
        </w:rPr>
        <w:t xml:space="preserve">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z nauczycielem. W przypadku, gdy uczeń nie zgłosi się do nauczyciela, zaległy sprawdzian pisze bez uprzedzenia na najbli</w:t>
      </w:r>
      <w:r w:rsidR="00EC4124" w:rsidRPr="00EC4124">
        <w:rPr>
          <w:rFonts w:ascii="Arial" w:hAnsi="Arial" w:cs="Arial"/>
          <w:sz w:val="24"/>
          <w:szCs w:val="24"/>
        </w:rPr>
        <w:t>ższej lekcji fizyk</w:t>
      </w:r>
      <w:r w:rsidRPr="00EC4124">
        <w:rPr>
          <w:rFonts w:ascii="Arial" w:hAnsi="Arial" w:cs="Arial"/>
          <w:sz w:val="24"/>
          <w:szCs w:val="24"/>
        </w:rPr>
        <w:t>i.</w:t>
      </w:r>
    </w:p>
    <w:p w:rsidR="00B80524" w:rsidRPr="00EC4124" w:rsidRDefault="00B80524" w:rsidP="0007704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6. W przypadku ucieczki z lekcji, wagarów uczeń pisze sprawdzian na najbli</w:t>
      </w:r>
      <w:r w:rsidR="00EC4124" w:rsidRPr="00EC4124">
        <w:rPr>
          <w:rFonts w:ascii="Arial" w:hAnsi="Arial" w:cs="Arial"/>
          <w:sz w:val="24"/>
          <w:szCs w:val="24"/>
        </w:rPr>
        <w:t>ższej lekcji fizyk</w:t>
      </w:r>
      <w:r w:rsidRPr="00EC4124">
        <w:rPr>
          <w:rFonts w:ascii="Arial" w:hAnsi="Arial" w:cs="Arial"/>
          <w:sz w:val="24"/>
          <w:szCs w:val="24"/>
        </w:rPr>
        <w:t>i.</w:t>
      </w:r>
    </w:p>
    <w:p w:rsidR="00B80524" w:rsidRPr="00EC4124" w:rsidRDefault="00B80524" w:rsidP="0007704D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7. Uczeń ma prawo poprawić ocenę ze sprawdzianu (pracy klasowej) w ciągu 2 tygodni od dnia jej otrzymania lub w innym terminie określonym przez nauczyciela.</w:t>
      </w:r>
    </w:p>
    <w:p w:rsidR="00B80524" w:rsidRPr="00EC4124" w:rsidRDefault="006C7E8E" w:rsidP="0007704D">
      <w:pPr>
        <w:spacing w:after="0"/>
        <w:ind w:firstLine="432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    </w:t>
      </w:r>
      <w:r w:rsidR="00B80524" w:rsidRPr="00EC4124">
        <w:rPr>
          <w:rFonts w:ascii="Arial" w:hAnsi="Arial" w:cs="Arial"/>
          <w:sz w:val="24"/>
          <w:szCs w:val="24"/>
        </w:rPr>
        <w:t xml:space="preserve">8. Przy poprawianiu ocen kryteria oceny nie zmieniają się, a otrzymana ocena jest wpisywana obok dotychczasowej. </w:t>
      </w:r>
    </w:p>
    <w:p w:rsidR="00B80524" w:rsidRPr="00EC4124" w:rsidRDefault="00B80524" w:rsidP="00B80524">
      <w:pPr>
        <w:rPr>
          <w:rFonts w:ascii="Arial" w:hAnsi="Arial" w:cs="Arial"/>
          <w:sz w:val="24"/>
          <w:szCs w:val="24"/>
        </w:rPr>
      </w:pPr>
    </w:p>
    <w:p w:rsidR="00B80524" w:rsidRPr="00EC4124" w:rsidRDefault="00B80524" w:rsidP="0007704D">
      <w:pPr>
        <w:pStyle w:val="Nagwek1"/>
        <w:numPr>
          <w:ilvl w:val="0"/>
          <w:numId w:val="31"/>
        </w:numPr>
        <w:spacing w:before="0" w:after="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KARTKÓWKI</w:t>
      </w:r>
    </w:p>
    <w:p w:rsidR="00B80524" w:rsidRPr="00EC4124" w:rsidRDefault="00B80524" w:rsidP="0007704D">
      <w:pPr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Obejmują bieżący materiał lub inny, ale niewielki do trzech lekcji. Kartkówki nie muszą być  zapowiadane.</w:t>
      </w:r>
    </w:p>
    <w:p w:rsidR="00B80524" w:rsidRPr="00EC4124" w:rsidRDefault="00B80524" w:rsidP="0007704D">
      <w:pPr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 Przedziały procentowe oceniania - tak jak w przypadku sprawdzianów.</w:t>
      </w:r>
    </w:p>
    <w:p w:rsidR="0007704D" w:rsidRDefault="0007704D" w:rsidP="00B80524">
      <w:pPr>
        <w:pStyle w:val="Nagwek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</w:p>
    <w:p w:rsidR="0007704D" w:rsidRDefault="0007704D" w:rsidP="00B80524">
      <w:pPr>
        <w:pStyle w:val="Nagwek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</w:p>
    <w:p w:rsidR="00B80524" w:rsidRPr="00EC4124" w:rsidRDefault="00B80524" w:rsidP="00B80524">
      <w:pPr>
        <w:pStyle w:val="Nagwek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lastRenderedPageBreak/>
        <w:t>ODPOWIEDZI USTNE</w:t>
      </w:r>
    </w:p>
    <w:p w:rsidR="00B80524" w:rsidRPr="00EC4124" w:rsidRDefault="00B80524" w:rsidP="00EC4124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Przy odpowiedzi ustnej obowiązuje </w:t>
      </w:r>
      <w:r w:rsidR="00EC4124" w:rsidRPr="00EC4124">
        <w:rPr>
          <w:rFonts w:ascii="Arial" w:hAnsi="Arial" w:cs="Arial"/>
          <w:sz w:val="24"/>
          <w:szCs w:val="24"/>
        </w:rPr>
        <w:t>znajomość bieżącego materiału (</w:t>
      </w:r>
      <w:r w:rsidRPr="00EC4124">
        <w:rPr>
          <w:rFonts w:ascii="Arial" w:hAnsi="Arial" w:cs="Arial"/>
          <w:sz w:val="24"/>
          <w:szCs w:val="24"/>
        </w:rPr>
        <w:t>dwie lekcje wstecz), w przypadku lekcji powtórzeniowej obowiązuje znajomość całego działu.</w:t>
      </w:r>
    </w:p>
    <w:p w:rsidR="00B80524" w:rsidRPr="00EC4124" w:rsidRDefault="00B80524" w:rsidP="00EC412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B80524" w:rsidRPr="00EC4124" w:rsidRDefault="00B80524" w:rsidP="00B80524">
      <w:pPr>
        <w:numPr>
          <w:ilvl w:val="0"/>
          <w:numId w:val="3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Uczeń ma prawo do zwolnienia z odpytywania i oceniania (bez konsekwencji) po tygodniowej lub dłuższej usprawiedliwionej nieobecności. </w:t>
      </w:r>
    </w:p>
    <w:p w:rsidR="00B80524" w:rsidRPr="00EC4124" w:rsidRDefault="00B80524" w:rsidP="00B80524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Uczeń w ciągu półrocza może zgłosić </w:t>
      </w:r>
      <w:r w:rsidRPr="00EC4124">
        <w:rPr>
          <w:rFonts w:ascii="Arial" w:hAnsi="Arial" w:cs="Arial"/>
          <w:b/>
          <w:sz w:val="24"/>
          <w:szCs w:val="24"/>
        </w:rPr>
        <w:t>dwa nieprzygotowania</w:t>
      </w:r>
      <w:r w:rsidRPr="00EC4124">
        <w:rPr>
          <w:rFonts w:ascii="Arial" w:hAnsi="Arial" w:cs="Arial"/>
          <w:sz w:val="24"/>
          <w:szCs w:val="24"/>
        </w:rPr>
        <w:t xml:space="preserve"> do zajęć (podczas odpowiedzi)  i nie ma to wpływu na ocenę z przedmiotu. Trzecie i kolejne nieprzygotowanie do odpowiedzi skutkuje oceną niedostateczną. </w:t>
      </w:r>
    </w:p>
    <w:p w:rsidR="00B80524" w:rsidRPr="00EC4124" w:rsidRDefault="00B80524" w:rsidP="00B80524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Nieprzygotowane nie dotyczy lekcji, na której został zapowiedziany sprawdzian, test, klasówka lub kartkówka. </w:t>
      </w:r>
    </w:p>
    <w:p w:rsidR="00B80524" w:rsidRPr="00EC4124" w:rsidRDefault="00B80524" w:rsidP="00B80524">
      <w:pPr>
        <w:pStyle w:val="Nagwek1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ZADANIA DOMOWE, INNE PRACE</w:t>
      </w:r>
    </w:p>
    <w:p w:rsidR="00B80524" w:rsidRPr="00EC4124" w:rsidRDefault="00B80524" w:rsidP="00B80524">
      <w:pPr>
        <w:numPr>
          <w:ilvl w:val="0"/>
          <w:numId w:val="32"/>
        </w:numPr>
        <w:suppressAutoHyphens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Dwa razy w semestrze uczeń może zgłosić przed lekcją brak zadania</w:t>
      </w:r>
      <w:r w:rsidRPr="00EC4124">
        <w:rPr>
          <w:rFonts w:ascii="Arial" w:hAnsi="Arial" w:cs="Arial"/>
          <w:sz w:val="24"/>
          <w:szCs w:val="24"/>
        </w:rPr>
        <w:t xml:space="preserve"> i jest zobowiązany uzupełnić je na następną lekcję. Trzeci i każdy kolejny brak zadania skutkuje oceną niedostateczną.</w:t>
      </w:r>
    </w:p>
    <w:p w:rsidR="00B80524" w:rsidRPr="00EC4124" w:rsidRDefault="00B80524" w:rsidP="00B80524">
      <w:pPr>
        <w:numPr>
          <w:ilvl w:val="0"/>
          <w:numId w:val="32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Krótkie zadania, ćwiczenia są oceniane plusami, które są przeliczane na oceny analogicznie jak aktywność. Za dłuższe zadania nauczyciel wystawia ocenę.</w:t>
      </w:r>
    </w:p>
    <w:p w:rsidR="00B80524" w:rsidRPr="00EC4124" w:rsidRDefault="00B80524" w:rsidP="00B80524">
      <w:pPr>
        <w:spacing w:before="280" w:after="28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ZESZYT ĆWICZEŃ (jeżeli został wprowadzony w danej klasie)</w:t>
      </w:r>
    </w:p>
    <w:p w:rsidR="00B80524" w:rsidRPr="00EC4124" w:rsidRDefault="00B80524" w:rsidP="0007704D">
      <w:pPr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Uczeń ma obowiązek noszenia zeszytu ćwiczeń na każdą lekcję z danego przedmiotu.</w:t>
      </w:r>
    </w:p>
    <w:p w:rsidR="00B80524" w:rsidRPr="00EC4124" w:rsidRDefault="00B80524" w:rsidP="0007704D">
      <w:pPr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Brak zeszytu ćwiczeń należy zgłosić przed rozpoczęciem lekcji i jest to równoznaczne z otrzymaniem „-‘</w:t>
      </w:r>
    </w:p>
    <w:p w:rsidR="00B80524" w:rsidRPr="00EC4124" w:rsidRDefault="00B80524" w:rsidP="0007704D">
      <w:pPr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Trzy minusy – ocena niedostateczny</w:t>
      </w:r>
    </w:p>
    <w:p w:rsidR="00B80524" w:rsidRPr="00EC4124" w:rsidRDefault="00B80524" w:rsidP="0007704D">
      <w:pPr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Jeśli w zeszycie ćwiczeń zadano zadanie domowe, nauczyciel oprócz minusa wpisuje do dziennika brak zadania.</w:t>
      </w:r>
    </w:p>
    <w:p w:rsidR="00B80524" w:rsidRPr="00EC4124" w:rsidRDefault="00B80524" w:rsidP="0007704D">
      <w:pPr>
        <w:numPr>
          <w:ilvl w:val="0"/>
          <w:numId w:val="4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Zeszyt ćwiczeń będzie oceniony przynajmniej jeden raz w roku szkolnym, biorąc pod uwagę staranność, systematyczność i poprawność rzeczową.</w:t>
      </w:r>
    </w:p>
    <w:p w:rsidR="00B80524" w:rsidRPr="00EC4124" w:rsidRDefault="00B80524" w:rsidP="0007704D">
      <w:pPr>
        <w:spacing w:before="280" w:after="280"/>
        <w:ind w:left="36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b/>
          <w:bCs/>
          <w:sz w:val="24"/>
          <w:szCs w:val="24"/>
        </w:rPr>
        <w:t>AKTYWNOŚĆ I PRZYGOTOWANIE DO LEKCJI</w:t>
      </w:r>
    </w:p>
    <w:p w:rsidR="00B80524" w:rsidRPr="00EC4124" w:rsidRDefault="00B80524" w:rsidP="0007704D">
      <w:pPr>
        <w:numPr>
          <w:ilvl w:val="0"/>
          <w:numId w:val="3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Udział w pracy na lekcji i przygotowanie do niej nauczyciel ocenia na bieżąco wpisując ocenę lub odnotow</w:t>
      </w:r>
      <w:r w:rsidR="006C7E8E" w:rsidRPr="00EC4124">
        <w:rPr>
          <w:rFonts w:ascii="Arial" w:hAnsi="Arial" w:cs="Arial"/>
          <w:sz w:val="24"/>
          <w:szCs w:val="24"/>
        </w:rPr>
        <w:t>ując plusy i minusy w dzienniku</w:t>
      </w:r>
      <w:r w:rsidRPr="00EC4124">
        <w:rPr>
          <w:rFonts w:ascii="Arial" w:hAnsi="Arial" w:cs="Arial"/>
          <w:sz w:val="24"/>
          <w:szCs w:val="24"/>
        </w:rPr>
        <w:t>.</w:t>
      </w:r>
    </w:p>
    <w:p w:rsidR="00B80524" w:rsidRPr="00EC4124" w:rsidRDefault="00B80524" w:rsidP="000770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lastRenderedPageBreak/>
        <w:t xml:space="preserve">Plus można uzyskać za: krótkie wypowiedzi, zapisy na tablicy, rozwiązanie ćwiczenia, pracę grupową, wykonanie doświadczenia, przyniesienie materiałów i inne przejawy aktywności. </w:t>
      </w:r>
    </w:p>
    <w:p w:rsidR="00B80524" w:rsidRPr="00EC4124" w:rsidRDefault="00B80524" w:rsidP="0007704D">
      <w:pPr>
        <w:numPr>
          <w:ilvl w:val="0"/>
          <w:numId w:val="4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Minus można otrzymać za brak zaangażowania, brak uwagi na lekcji, brak potrzebnych materiałów. </w:t>
      </w:r>
    </w:p>
    <w:p w:rsidR="00B80524" w:rsidRPr="00EC4124" w:rsidRDefault="00B80524" w:rsidP="0007704D">
      <w:pPr>
        <w:numPr>
          <w:ilvl w:val="0"/>
          <w:numId w:val="44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Trzy plusy-ocena bardzo dobry</w:t>
      </w:r>
    </w:p>
    <w:p w:rsidR="00B80524" w:rsidRPr="00EC4124" w:rsidRDefault="00B80524" w:rsidP="0007704D">
      <w:pPr>
        <w:numPr>
          <w:ilvl w:val="0"/>
          <w:numId w:val="44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Trzy minusy – ocena niedostateczny.</w:t>
      </w:r>
    </w:p>
    <w:p w:rsidR="00B80524" w:rsidRPr="00EC4124" w:rsidRDefault="00B80524" w:rsidP="0007704D">
      <w:pPr>
        <w:numPr>
          <w:ilvl w:val="0"/>
          <w:numId w:val="4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Wybitna aktywność w ciągu całego półrocza będzie dodatkowo oceniana na korzyść ucznia.</w:t>
      </w:r>
    </w:p>
    <w:p w:rsidR="0007704D" w:rsidRDefault="0007704D" w:rsidP="00B80524">
      <w:pPr>
        <w:spacing w:after="280"/>
        <w:ind w:left="720"/>
        <w:rPr>
          <w:rFonts w:ascii="Arial" w:hAnsi="Arial" w:cs="Arial"/>
          <w:b/>
          <w:sz w:val="24"/>
          <w:szCs w:val="24"/>
        </w:rPr>
      </w:pPr>
    </w:p>
    <w:p w:rsidR="00B80524" w:rsidRPr="00EC4124" w:rsidRDefault="00B80524" w:rsidP="00B80524">
      <w:pPr>
        <w:spacing w:after="280"/>
        <w:ind w:left="72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UDZIAŁ W ZAJĘCIACH POZALEKCYJNYCH (jeśli są prowadzone)</w:t>
      </w:r>
    </w:p>
    <w:p w:rsidR="00B80524" w:rsidRPr="00EC4124" w:rsidRDefault="00B80524" w:rsidP="00B80524">
      <w:pPr>
        <w:numPr>
          <w:ilvl w:val="0"/>
          <w:numId w:val="45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Za systematyczne uczęszczanie i zaangażowanie w pracę na zajęciach pozalekcyjnych z uczeń uzyskuje ocenę cząstkową w zakresie od oceny dobrej do oceny celującej.</w:t>
      </w:r>
    </w:p>
    <w:p w:rsidR="00B80524" w:rsidRPr="00EC4124" w:rsidRDefault="0007704D" w:rsidP="0007704D">
      <w:pPr>
        <w:pStyle w:val="Nagwek2"/>
        <w:numPr>
          <w:ilvl w:val="3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80524" w:rsidRPr="00EC4124">
        <w:rPr>
          <w:rFonts w:ascii="Arial" w:hAnsi="Arial" w:cs="Arial"/>
          <w:sz w:val="24"/>
          <w:szCs w:val="24"/>
        </w:rPr>
        <w:t>WARUNKI POPRAWY OCEN CZĄSTKOWYCH</w:t>
      </w:r>
    </w:p>
    <w:p w:rsidR="00B80524" w:rsidRPr="00EC4124" w:rsidRDefault="00B80524" w:rsidP="0007704D">
      <w:pPr>
        <w:numPr>
          <w:ilvl w:val="0"/>
          <w:numId w:val="34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Uczeń ma możliwość poprawy oceny:</w:t>
      </w:r>
    </w:p>
    <w:p w:rsidR="00B80524" w:rsidRPr="00EC4124" w:rsidRDefault="00B80524" w:rsidP="0007704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-         z odpowiedzi ustnej - na następnej lekcji</w:t>
      </w:r>
    </w:p>
    <w:p w:rsidR="00B80524" w:rsidRPr="00EC4124" w:rsidRDefault="00B80524" w:rsidP="0007704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-         z kartkówki – do tygodnia od terminu oddania pracy</w:t>
      </w:r>
    </w:p>
    <w:p w:rsidR="00B80524" w:rsidRPr="00EC4124" w:rsidRDefault="00B80524" w:rsidP="0007704D">
      <w:pPr>
        <w:spacing w:after="0"/>
        <w:ind w:left="1440" w:hanging="36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-         ze sprawdzianów do 2 tygodni</w:t>
      </w:r>
      <w:r w:rsidRPr="00EC4124">
        <w:rPr>
          <w:rFonts w:ascii="Arial" w:hAnsi="Arial" w:cs="Arial"/>
          <w:sz w:val="24"/>
          <w:szCs w:val="24"/>
        </w:rPr>
        <w:t xml:space="preserve"> od terminu oddania prac. Dla wszystkich chętnych ustala się jeden wspólny termin poprawy.</w:t>
      </w:r>
    </w:p>
    <w:p w:rsidR="00B80524" w:rsidRPr="00EC4124" w:rsidRDefault="00B80524" w:rsidP="0007704D">
      <w:pPr>
        <w:spacing w:after="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   </w:t>
      </w:r>
      <w:r w:rsidR="00EC4124">
        <w:rPr>
          <w:rFonts w:ascii="Arial" w:hAnsi="Arial" w:cs="Arial"/>
          <w:sz w:val="24"/>
          <w:szCs w:val="24"/>
        </w:rPr>
        <w:tab/>
        <w:t xml:space="preserve">    </w:t>
      </w:r>
      <w:r w:rsidRPr="00EC4124">
        <w:rPr>
          <w:rFonts w:ascii="Arial" w:hAnsi="Arial" w:cs="Arial"/>
          <w:sz w:val="24"/>
          <w:szCs w:val="24"/>
        </w:rPr>
        <w:t>  2.  Obok oceny uzyskanej poprzednio wpisuje się ocenę poprawioną.</w:t>
      </w:r>
    </w:p>
    <w:p w:rsidR="00B80524" w:rsidRPr="00EC4124" w:rsidRDefault="00B80524" w:rsidP="0007704D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3.</w:t>
      </w:r>
      <w:r w:rsidR="00EC4124">
        <w:rPr>
          <w:rFonts w:ascii="Arial" w:hAnsi="Arial" w:cs="Arial"/>
          <w:sz w:val="24"/>
          <w:szCs w:val="24"/>
        </w:rPr>
        <w:t xml:space="preserve"> </w:t>
      </w:r>
      <w:r w:rsidRPr="00EC4124">
        <w:rPr>
          <w:rFonts w:ascii="Arial" w:hAnsi="Arial" w:cs="Arial"/>
          <w:sz w:val="24"/>
          <w:szCs w:val="24"/>
        </w:rPr>
        <w:t>Terminy poprawy oceny z odpowiedzi lub ze sprawdzianu w szczególnych przypadkach mogą być ustalone przez nauczyciela.</w:t>
      </w:r>
    </w:p>
    <w:p w:rsidR="00B80524" w:rsidRPr="0007704D" w:rsidRDefault="00B80524" w:rsidP="00B80524">
      <w:pPr>
        <w:spacing w:before="280" w:after="280"/>
        <w:rPr>
          <w:rFonts w:ascii="Arial" w:hAnsi="Arial" w:cs="Arial"/>
          <w:b/>
          <w:sz w:val="24"/>
          <w:szCs w:val="24"/>
        </w:rPr>
      </w:pPr>
      <w:r w:rsidRPr="0007704D">
        <w:rPr>
          <w:rFonts w:ascii="Arial" w:hAnsi="Arial" w:cs="Arial"/>
          <w:b/>
          <w:sz w:val="24"/>
          <w:szCs w:val="24"/>
        </w:rPr>
        <w:t xml:space="preserve">   OCENA UMIEJĘTNOŚCI UCZNIA obejmuje: </w:t>
      </w:r>
    </w:p>
    <w:p w:rsidR="00B80524" w:rsidRPr="00EC4124" w:rsidRDefault="00B80524" w:rsidP="00B80524">
      <w:pPr>
        <w:numPr>
          <w:ilvl w:val="0"/>
          <w:numId w:val="33"/>
        </w:numPr>
        <w:suppressAutoHyphens/>
        <w:spacing w:before="280"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analizę plansz, rysunków, wykresów, tekstów źródłowych,</w:t>
      </w:r>
    </w:p>
    <w:p w:rsidR="00B80524" w:rsidRPr="00EC4124" w:rsidRDefault="00B80524" w:rsidP="00B80524">
      <w:pPr>
        <w:numPr>
          <w:ilvl w:val="0"/>
          <w:numId w:val="3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przygotowywanie referatów, </w:t>
      </w:r>
    </w:p>
    <w:p w:rsidR="00B80524" w:rsidRPr="00EC4124" w:rsidRDefault="00B80524" w:rsidP="00B80524">
      <w:pPr>
        <w:numPr>
          <w:ilvl w:val="0"/>
          <w:numId w:val="3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korzystanie z dodatkowych źródeł informacji,(Internet, encyklopedie multimedialne, itp.)</w:t>
      </w:r>
    </w:p>
    <w:p w:rsidR="00B80524" w:rsidRPr="00EC4124" w:rsidRDefault="00B80524" w:rsidP="00B80524">
      <w:pPr>
        <w:numPr>
          <w:ilvl w:val="0"/>
          <w:numId w:val="3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pracę w grupie,</w:t>
      </w:r>
    </w:p>
    <w:p w:rsidR="00B80524" w:rsidRPr="00EC4124" w:rsidRDefault="00B80524" w:rsidP="00B80524">
      <w:pPr>
        <w:numPr>
          <w:ilvl w:val="0"/>
          <w:numId w:val="33"/>
        </w:numPr>
        <w:suppressAutoHyphens/>
        <w:spacing w:after="280" w:line="240" w:lineRule="auto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wykonywanie doświadczeń i dokonywanie obserwacji i wnioskowania</w:t>
      </w:r>
    </w:p>
    <w:p w:rsidR="00B80524" w:rsidRPr="00EC4124" w:rsidRDefault="00B80524" w:rsidP="00B80524">
      <w:pPr>
        <w:spacing w:before="280" w:after="280"/>
        <w:rPr>
          <w:rFonts w:ascii="Arial" w:hAnsi="Arial" w:cs="Arial"/>
          <w:b/>
          <w:bCs/>
          <w:sz w:val="24"/>
          <w:szCs w:val="24"/>
        </w:rPr>
      </w:pPr>
      <w:r w:rsidRPr="00EC4124">
        <w:rPr>
          <w:rFonts w:ascii="Arial" w:hAnsi="Arial" w:cs="Arial"/>
          <w:b/>
          <w:bCs/>
          <w:sz w:val="24"/>
          <w:szCs w:val="24"/>
        </w:rPr>
        <w:lastRenderedPageBreak/>
        <w:t>INNE:</w:t>
      </w:r>
    </w:p>
    <w:p w:rsidR="00B80524" w:rsidRPr="00EC4124" w:rsidRDefault="00B80524" w:rsidP="006C7E8E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280" w:line="240" w:lineRule="auto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 xml:space="preserve">W przypadku posiadania przez ucznia </w:t>
      </w:r>
      <w:r w:rsidRPr="00EC4124">
        <w:rPr>
          <w:rFonts w:ascii="Arial" w:hAnsi="Arial" w:cs="Arial"/>
          <w:b/>
          <w:sz w:val="24"/>
          <w:szCs w:val="24"/>
        </w:rPr>
        <w:t>opinii</w:t>
      </w:r>
      <w:r w:rsidRPr="00EC4124">
        <w:rPr>
          <w:rFonts w:ascii="Arial" w:hAnsi="Arial" w:cs="Arial"/>
          <w:sz w:val="24"/>
          <w:szCs w:val="24"/>
        </w:rPr>
        <w:t xml:space="preserve"> </w:t>
      </w:r>
      <w:r w:rsidR="00EC4124">
        <w:rPr>
          <w:rFonts w:ascii="Arial" w:hAnsi="Arial" w:cs="Arial"/>
          <w:sz w:val="24"/>
          <w:szCs w:val="24"/>
        </w:rPr>
        <w:t xml:space="preserve">lub </w:t>
      </w:r>
      <w:r w:rsidR="00EC4124" w:rsidRPr="00EC4124">
        <w:rPr>
          <w:rFonts w:ascii="Arial" w:hAnsi="Arial" w:cs="Arial"/>
          <w:b/>
          <w:sz w:val="24"/>
          <w:szCs w:val="24"/>
        </w:rPr>
        <w:t>orzeczenia</w:t>
      </w:r>
      <w:r w:rsidR="00EC4124">
        <w:rPr>
          <w:rFonts w:ascii="Arial" w:hAnsi="Arial" w:cs="Arial"/>
          <w:sz w:val="24"/>
          <w:szCs w:val="24"/>
        </w:rPr>
        <w:t xml:space="preserve"> </w:t>
      </w:r>
      <w:r w:rsidRPr="00EC4124">
        <w:rPr>
          <w:rFonts w:ascii="Arial" w:hAnsi="Arial" w:cs="Arial"/>
          <w:sz w:val="24"/>
          <w:szCs w:val="24"/>
        </w:rPr>
        <w:t>z poradni psychologiczno-pedagogicznej nauczyciel dostosowuje wymagania edukacyjne oraz formy i metody pracy do indywidualnych potrzeb i możliwości ucznia.</w:t>
      </w:r>
    </w:p>
    <w:p w:rsidR="00B80524" w:rsidRPr="00EC4124" w:rsidRDefault="00B80524" w:rsidP="00B80524">
      <w:pPr>
        <w:pStyle w:val="Akapitzlist"/>
        <w:spacing w:after="280"/>
        <w:rPr>
          <w:rFonts w:ascii="Arial" w:hAnsi="Arial" w:cs="Arial"/>
          <w:sz w:val="24"/>
          <w:szCs w:val="24"/>
        </w:rPr>
      </w:pPr>
    </w:p>
    <w:p w:rsidR="00B80524" w:rsidRPr="00EC4124" w:rsidRDefault="00B80524" w:rsidP="00EC4124">
      <w:pPr>
        <w:spacing w:before="280" w:after="28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OCENIANIE PÓŁROCZNE I KOŃCOWOROCZNE</w:t>
      </w:r>
    </w:p>
    <w:p w:rsidR="00B80524" w:rsidRPr="00EC4124" w:rsidRDefault="00B80524" w:rsidP="0007704D">
      <w:pPr>
        <w:spacing w:after="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 xml:space="preserve">1.W ocenianiu półrocznym i </w:t>
      </w:r>
      <w:proofErr w:type="spellStart"/>
      <w:r w:rsidRPr="00EC4124">
        <w:rPr>
          <w:rFonts w:ascii="Arial" w:hAnsi="Arial" w:cs="Arial"/>
          <w:b/>
          <w:sz w:val="24"/>
          <w:szCs w:val="24"/>
        </w:rPr>
        <w:t>końcoworocznym</w:t>
      </w:r>
      <w:proofErr w:type="spellEnd"/>
      <w:r w:rsidRPr="00EC4124">
        <w:rPr>
          <w:rFonts w:ascii="Arial" w:hAnsi="Arial" w:cs="Arial"/>
          <w:b/>
          <w:sz w:val="24"/>
          <w:szCs w:val="24"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B80524" w:rsidRPr="00EC4124" w:rsidRDefault="00B80524" w:rsidP="0007704D">
      <w:pPr>
        <w:spacing w:before="280" w:after="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2. Ocenę niedostateczną za pierwsze półrocze uczeń może poprawić w terminie ustalonym przez nauczyciela.</w:t>
      </w:r>
    </w:p>
    <w:p w:rsidR="00B80524" w:rsidRPr="00EC4124" w:rsidRDefault="00B80524" w:rsidP="0007704D">
      <w:pPr>
        <w:spacing w:before="280" w:after="0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>3. Ogólne zasady oceniania oraz tryb odwoławczy znajdują się w Statucie szkoły.</w:t>
      </w:r>
    </w:p>
    <w:p w:rsidR="00B80524" w:rsidRPr="00EC4124" w:rsidRDefault="00B80524" w:rsidP="00B80524">
      <w:pPr>
        <w:spacing w:before="280" w:after="280"/>
        <w:rPr>
          <w:rFonts w:ascii="Arial" w:hAnsi="Arial" w:cs="Arial"/>
          <w:b/>
          <w:sz w:val="24"/>
          <w:szCs w:val="24"/>
        </w:rPr>
      </w:pPr>
      <w:r w:rsidRPr="00EC4124">
        <w:rPr>
          <w:rFonts w:ascii="Arial" w:hAnsi="Arial" w:cs="Arial"/>
          <w:b/>
          <w:sz w:val="24"/>
          <w:szCs w:val="24"/>
        </w:rPr>
        <w:t>WYMAGANIA EDUKACYJNE DLA KLASY 7</w:t>
      </w:r>
    </w:p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t xml:space="preserve">I. Oddziaływania 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28"/>
        <w:gridCol w:w="3243"/>
        <w:gridCol w:w="442"/>
        <w:gridCol w:w="3077"/>
        <w:gridCol w:w="184"/>
        <w:gridCol w:w="2688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Oczami fizyki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7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wyodrębnia z rysunków schematycznych lub blokowych informacje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kluczowe dla opisywanego zjawiska bądź problemu;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pojęcia: obserwacja, pomiar, doświadczenie;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7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wraz z jego jednostką.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wyodrębnia z tekstów i tabel informacje kluczowe dla opisywanego zjawiska bądź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problemu;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wybrane obserwacje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pomiary na podstawie ich opisów;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wyodrębnia z diagramów i wykresów informacje kluczowe dla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opisywanego zjawiska bądź problemu;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wybrane doświadczenia na podstawie ich opisów;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wraz z jego jednostką oraz z uwzględnieniem informacji o niepewności pomiarowej.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ilustruje kluczowe informacje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w różnych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postaciach;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wymienia cechy oraz etapy metody naukowej.</w:t>
            </w:r>
          </w:p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24" w:rsidRPr="00EC4124" w:rsidTr="00EC4124">
        <w:trPr>
          <w:trHeight w:val="1182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Otaczający nas świat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wraz z jego jednostką;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i podaje nazwy trzech stanów skupienia;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masy oraz jej jednostkami.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wielokrotności i podwielokrotności jednostek (centy-, kilo-);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niepewności pomiarowej.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wraz z jego jednostką oraz z uwzględnieniem informacji o niepewności pomiarowej;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wielokrotności i podwielokrotności jednostek (mikro-, mega-).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obliczenia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i zapisuje wynik zgodnie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z zasadami zaokrąglania oraz zachowaniem liczby cyfr znaczących wynikającej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z dokładności pomiaru lub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danych.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Oddziaływanie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– co to znaczy?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wyodrębnia zjawisko z kontekstu;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rozpoznaje oddziaływanie na podstawie jego skutków (grawitacyjne, sprężyste, magnetyczne, elektryczne).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wyodrębnia zjawisko z kontekstu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i podaje jego nazwę;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wymienia przykłady praktycznego wykorzystania oddziaływań grawitacyjnego i sprężystego.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wskazuje czynniki istotne i nieistotne dla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przebiegu zjawiska;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wymienia przykłady praktycznego wykorzystania oddziaływań magnetycznego i elektrycznego.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 xml:space="preserve">rozróżnia oddziaływania na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odległość i bezpośrednie.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Siły wokół nas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przebieg doświadczenia lub pokazu;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pojęcie siły jako działania skierowanego (wektor);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rozpoznaje i podaje nazwy sił: ciężkości, nacisku, oporów ruchu;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siły ciężkości.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wyróżnia kluczowe kroki i sposób postępowania podczas doświadczenia lub pokazu;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 wartość, kierunek i zwrot wektora siły;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jednostką siły;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podaje przykłady sił ciężkości, nacisku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i oporów ruchu w różnych sytuacjach praktycznych;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między siłą ciężkości, masą i przyspieszeniem ziemskim;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wartość siły za pomocą siłomierza albo wagi analogowej lub cyfrowej.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 rolę użytych podczas doświadczenia lub pokazu przyrządów.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podaje przykłady siły sprężystości w różnych sytuacjach praktycznych;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obliczenia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i zapisuje wynik zgodnie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z zasadami zaokrąglania oraz zachowaniem liczby cyfr znaczących wynikającej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z dokładności pomiaru lub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danych.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Więcej niż jedna siła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wyznacza siłę wypadkową dla sił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o jednakowych kierunkach. 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rysuje siłę wypadkową dla sił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o jednakowych kierunkach;</w:t>
            </w:r>
          </w:p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i rysuje siły, które się równoważą.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rysuje siłę wypadkową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w przypadku dodawania dwóch sił o różnych kierunkach.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Wzajemność oddziaływań</w:t>
            </w:r>
          </w:p>
        </w:tc>
        <w:tc>
          <w:tcPr>
            <w:tcW w:w="3402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wzajemne oddziaływanie ciał;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przestrzega zasad bezpieczeństwa podczas wykonywania obserwacji, pomiarów i doświadczeń.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opisuje wzajemne oddziaływanie ciał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wykorzystaniem trzeciej zasady dynamiki;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ilustruje doświadczalnie trzecią zasadę dynamiki.</w:t>
            </w:r>
          </w:p>
        </w:tc>
        <w:tc>
          <w:tcPr>
            <w:tcW w:w="326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 i podaje nazwy sił wzajemnego oddziaływania.</w:t>
            </w:r>
          </w:p>
        </w:tc>
        <w:tc>
          <w:tcPr>
            <w:tcW w:w="268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podaje nazwy sił akcji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 xml:space="preserve">i reakcji oraz wskazuje na arbitralność wyboru tych określeń;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posługuje się pojęciem siły nośnej.</w:t>
            </w:r>
          </w:p>
        </w:tc>
      </w:tr>
    </w:tbl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sz w:val="24"/>
          <w:szCs w:val="24"/>
        </w:rPr>
      </w:pPr>
    </w:p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t>II. Właściwości materii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118"/>
        <w:gridCol w:w="256"/>
        <w:gridCol w:w="3271"/>
        <w:gridCol w:w="159"/>
        <w:gridCol w:w="3360"/>
        <w:gridCol w:w="2872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Ciecze i gazy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opisuje zjawisko napięcia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powierzchniowego.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ilustruje istnienie sił spójności i w tym kontekście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tłumaczy formowanie się kropli.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doświadczalnie demonstruje zjawisko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napięcia powierzchniowego.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 xml:space="preserve">posługuje się pojęciem ściśliwości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 xml:space="preserve">do opisu właściwości cieczy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i gazów;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opisuje lepkość jako właściwość materii będąca konsekwencją sił spójności;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wymienia cechy powierzchni hydrofobowej i powierzchni hydrofilowej.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Gęstość materii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posługuje się pojęciami masy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gęstości oraz ich jednostkami.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analizuje różnice gęstości substancji w różnych stanach skupienia wynikające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budowy mikroskopowej ciał stałych, cieczy i gazów.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stosuje do obliczeń związek gęstości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masą i objętością.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rozróżnia pojęcia lepkości i gęstości;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przelicza jednostki gęstości.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Wyznaczanie gęstości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posługuje się pojęciami masy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gęstości oraz ich jednostkami;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zapisuje wynik pomiaru wraz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z jego jednostką;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analizuje różnice gęstości substancji w różnych stanach skupienia wynikające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budowy mikroskopowej ciał stałych, cieczy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 i gazów;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wraz z jego jednostką oraz z uwzględnieniem informacji o niepewności pomiarowej.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doświadczalnie wyznacza gęstość substancji, z jakiej wykonany jest przedmiot o regularnym kształcie,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za pomocą wagi i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przymiaru;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 z dokładności pomiaru lub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doświadczalnie wyznacza gęstość substancji, z jakiej wykonany jest przedmiot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 nieregularnym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kształcie,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za pomocą wagi, cieczy i cylindra miarowego;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oblicza i zapisuje niepewność wyznaczenia gęstości.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Siła parcia i ciśnienie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parcia (nacisku) w cieczach i gazach wraz z jego jednostką;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przestrzega zasad bezpieczeństwa podczas wykonywania obserwacji, pomiarów i doświadczeń.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posługuje się pojęciem ciśnienia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 xml:space="preserve">w cieczach i gazach wraz z jego jednostką;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ciśnienia atmosferycznego;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wielokrotności i podwielokrotności jednostek (</w:t>
            </w:r>
            <w:proofErr w:type="spellStart"/>
            <w:r w:rsidRPr="00EC4124">
              <w:rPr>
                <w:rFonts w:ascii="Arial" w:hAnsi="Arial" w:cs="Arial"/>
                <w:sz w:val="24"/>
                <w:szCs w:val="24"/>
              </w:rPr>
              <w:t>hekto</w:t>
            </w:r>
            <w:proofErr w:type="spellEnd"/>
            <w:r w:rsidRPr="00EC4124">
              <w:rPr>
                <w:rFonts w:ascii="Arial" w:hAnsi="Arial" w:cs="Arial"/>
                <w:sz w:val="24"/>
                <w:szCs w:val="24"/>
              </w:rPr>
              <w:t>-).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między parciem a ciśnieniem;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doświadczalnie demonstruje istnienie ciśnienia atmosferycznego.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podaje nazwy przyrządów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do pomiaru ciśnienia.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Ciśnienie a pole powierzchni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parcia (nacisku) oraz pojęciem ciśnienia w cieczach i gazach wraz z jego jednostką.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ciśnienia atmosferycznego;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między parciem a ciśnieniem.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obliczenia i zapisuje wynik zgodnie z zasadami zaokrąglania oraz zachowaniem liczby cyfr znaczących wynikającej z dokładności pomiaru lub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 xml:space="preserve">stosuje różne jednostki ciśnienia, inne niż podstawowa (mmHg, bar, </w:t>
            </w:r>
            <w:proofErr w:type="spellStart"/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atm</w:t>
            </w:r>
            <w:proofErr w:type="spellEnd"/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).</w:t>
            </w:r>
          </w:p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Ciśnienie hydrostatyczne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przestrzega zasad bezpieczeństwa podczas wykonywania obserwacji, pomiarów i doświadczeń;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prawem Pascala.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między parciem a ciśnieniem;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między ciśnieniem hydrostatycznym a wysokością słupa cieczy i jej gęstością.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doświadczalnie demonstruje zależność ciśnienia hydrostatycznego od wysokości słupa cieczy;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wskazuje, że wzrost ciśnienia zewnętrznego powoduje jednakowy przyrost ciśnienia w całej objętości cieczy lub gazu.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4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wymienia przykłady naczyń połączonych.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Siła wyporu. Pływanie ciał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warunki pływania ciał na podstawie analizy ich gęstości.</w:t>
            </w:r>
          </w:p>
        </w:tc>
        <w:tc>
          <w:tcPr>
            <w:tcW w:w="3686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wskazuje, że wzrost ciśnienia zewnętrznego powoduje jednakowy przyrost ciśnienia w całej objętości cieczy lub gazu;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siły wyporu.</w:t>
            </w:r>
          </w:p>
        </w:tc>
        <w:tc>
          <w:tcPr>
            <w:tcW w:w="3360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prawem Archimedesa;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demonstruje prawo Archimedesa i na tej podstawie analizuje warunki pływania ciał;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6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siły działające na ciała zanurzone w cieczach lub gazach;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6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gęstość cieczy lub ciał stałych na podstawie warunków pływania.</w:t>
            </w:r>
          </w:p>
        </w:tc>
      </w:tr>
    </w:tbl>
    <w:p w:rsidR="00B80524" w:rsidRPr="00EC4124" w:rsidRDefault="00B80524" w:rsidP="00B80524">
      <w:pPr>
        <w:widowControl w:val="0"/>
        <w:rPr>
          <w:rFonts w:ascii="Arial" w:hAnsi="Arial" w:cs="Arial"/>
          <w:b/>
          <w:color w:val="577ABC"/>
          <w:sz w:val="24"/>
          <w:szCs w:val="24"/>
        </w:rPr>
      </w:pPr>
    </w:p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lastRenderedPageBreak/>
        <w:t>III. Ruch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3271"/>
        <w:gridCol w:w="3519"/>
        <w:gridCol w:w="2872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Czas i droga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wyróżnia pojęcie toru;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jednostki czasu (sekunda, minuta, godzina).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wyróżnia pojęcia drogi.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ruch prostoliniowy i ruch krzywoliniowy.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oblicza zmianę wielkości fizycznej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i posługuje się symbolem ∆.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Względność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 przykłady względności ruchu.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przykłady względności ruchu.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układ odniesienia.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6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rozróżnia układy odniesienia jedno-, dwu- i trójwymiarowe.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Rodzaje ruchu. Prędkość ciała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prędkości do opisu ruchu prostoliniowego.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nazywa ruchem jednostajnym ruch, w którym prędkość jest stała.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oblicza wartość prędkości. 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stosuje do obliczeń związek prędkości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drogą i czasem, w którym została przebyta;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nazywa ruchem jednostajnym ruch,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w którym droga przebyta w jednostkowych przedziałach czasu jest stała.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przelicza jednostki prędkości.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Wyznaczanie prędkości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przestrzega zasad bezpieczeństwa podczas wykonywania obserwacji, pomiarów i doświadczeń.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doświadczalnie wyznacza prędkość z pomiaru czasu i drogi z użyciem przyrządów analogowych lub cyfrowych;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prędkości z drogą i czasem, w którym została przebyta.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doświadczalnie wyznacza prędkość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pomiaru czasu i drogi z użyciem oprogramowania do pomiarów na obrazach wideo.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posługuje się pojęciem prędkości chwilowej i prędkości średniej.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Pierwsza zasada dynamiki. Siły oporu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prędkości do opisu ruchu prostoliniowego;</w:t>
            </w:r>
          </w:p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rozpoznaje i podaje nazwy sił: ciężkości, nacisku, oporów ruchu oraz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prędkości z drogą i czasem, w którym została przebyta;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zachowanie się ciał na podstawie pierwszej zasady dynamiki;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doświadczalnie ilustruje pierwszą zasadę dynamiki.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jednostki prędkości.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stosuje pojęcie bezwładności;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opisuje związek między kształtem i prędkością poruszającego się ciała a oporem ruchu w ośrodku.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Tworzenie wykresów   ruchu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rozpoznaje zależność rosnącą bądź malejącą na podstawie danych z tabeli lub na podstawie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wyznacza wartość prędkości i drogę z wykresów zależności prędkości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i drogi od czasu dla ruchu prostoliniowego odcinkami jednostajnego.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rysuje wykresy zależności prędkości i drogi od czasu dla ruchu prostoliniowego odcinkami jednostajnego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na podstawie podanych informacji.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4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oblicza drogę jako pole pod wykresem zależności prędkości od czasu.</w:t>
            </w:r>
          </w:p>
        </w:tc>
      </w:tr>
    </w:tbl>
    <w:p w:rsidR="00B80524" w:rsidRPr="00EC4124" w:rsidRDefault="00B80524" w:rsidP="00B80524">
      <w:pPr>
        <w:widowControl w:val="0"/>
        <w:rPr>
          <w:rFonts w:ascii="Arial" w:hAnsi="Arial" w:cs="Arial"/>
          <w:b/>
          <w:sz w:val="24"/>
          <w:szCs w:val="24"/>
        </w:rPr>
      </w:pPr>
    </w:p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t>IV. Dynamika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374"/>
        <w:gridCol w:w="3271"/>
        <w:gridCol w:w="3519"/>
        <w:gridCol w:w="2872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Ruch przyspieszony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nazywa ruchem przyspieszonym ruch, w którym wartość prędkości rośnie.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nazywa ruchem jednostajnie przyspieszonym ruch, w którym wartość prędkości rośnie w jednostkowych przedziałach czasu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o tę samą wartość;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przyspieszenia do opisu ruchu prostoliniowego jednostajnie przyspieszonego.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na podstawie danych liczbowych przedstawionych w formie tekstu lub tabeli wyznacza wartość przyspieszenia w ruchu przyspieszonym wraz z jednostką;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0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zmianę prędkości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przyspieszenie z wykresów zależności prędkości od czasu dla ruchu prostoliniowego jednostajnie zmiennego.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Ruch opóźniony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nazywa ruchem opóźnionym ruch, w którym wartość prędkości maleje.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nazywa ruchem jednostajnie opóźnionym ruch, w którym wartość prędkości maleje w jednostkowych przedziałach czasu o tę samą wartość;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przyspieszenia do opisu ruchu prostoliniowego jednostajnie opóźnionego.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na podstawie danych liczbowych przedstawionych formie tekstu lub tabeli  wyznacza wartość przyspieszenia w ruchu opóźnionym wraz z jednostką;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stosuje do obliczeń związek przyspieszenia ze zmianą prędkości i czasem, w którym ta zmiana nastąpiła.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zmianę prędkości i przyspieszenie z wykresów zależności prędkości od czasu dla ruchu prostoliniowego jednostajnie zmiennego.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Siła tarcia i ruch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rozpoznaje i podaje nazwy sił oporów ruchu, podaje ich przykłady w różnych sytuacjach praktycznych.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i rysuje siłę wypadkową dla sił o jednakowych kierunkach;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i rysuje siły, które się równoważą.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rozpoznaje rodzaj ruchu na podstawie analizy sił.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3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rozróżnia siłę tarcia statycznego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i siłę tarcia dynamicznego.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Druga zasada dynamiki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masy jako miary bezwładności ciał;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zachowanie się ciał na podstawie drugiej zasady dynamiki.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doświadczalnie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demonstruje drugą zasadę dynamiki.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stosuje do obliczeń związek między siłą i masą a przyspieszeniem;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obliczenia i zapisuje wynik zgodnie z zasadami zaokrąglania oraz zachowaniem liczby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cyfr znaczących wynikającej z danych.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7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stosuje pojęcie bezwładności do opisu zachowania ciał w sytuacjach praktycznych.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Wykresy ruchu jednostajnie zmiennego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rozpoznaje zależność rosnącą bądź malejącą na podstawie danych z tabeli lub na podstawie wykresu.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wyodrębnia z tekstów, tabel, diagramów lub wykresów informacje kluczowe dla opisywanego zjawiska bądź problemu;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zmianę prędkości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przyspieszenie z wykresów zależności prędkości od czasu dla ruchu prostoliniowego jednostajnie zmiennego.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 z dokładności danych;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rysuje wykresy zależności prędkości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drogi od czasu dla ruchu prostoliniowego odcinkami jednostajnego lub jednostajnie zmiennego na podstawie podanych informacji;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ilustruje wyniki obliczeń w różnych postaciach.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9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oblicza drogę jako pole pod wykresem zależności prędkości od czasu.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Rozwiązywanie zadań</w:t>
            </w:r>
          </w:p>
        </w:tc>
        <w:tc>
          <w:tcPr>
            <w:tcW w:w="3374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wyodrębnia zjawisko z kontekstu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podaje jego nazwę.</w:t>
            </w:r>
          </w:p>
        </w:tc>
        <w:tc>
          <w:tcPr>
            <w:tcW w:w="3271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8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wyodrębnia z tekstów, tabel, diagramów lub wykresów informacje kluczowe dla opisywanego zjawiska bądź problemu;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wskazuje czynniki istotne i nieistotne dla przebiegu zjawiska.</w:t>
            </w:r>
          </w:p>
        </w:tc>
        <w:tc>
          <w:tcPr>
            <w:tcW w:w="3519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przeprowadza obliczenia i zapisuje wynik zgodnie z zasadami zaokrąglania oraz zachowaniem liczby cyfr znaczących wynikającej z danych;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ilustruje wyniki obliczeń w różnych postaciach.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4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opisuje etapy modelowania numerycznego.</w:t>
            </w:r>
          </w:p>
        </w:tc>
      </w:tr>
    </w:tbl>
    <w:p w:rsidR="00B80524" w:rsidRPr="00EC4124" w:rsidRDefault="00B80524" w:rsidP="00B80524">
      <w:pPr>
        <w:widowControl w:val="0"/>
        <w:rPr>
          <w:rFonts w:ascii="Arial" w:hAnsi="Arial" w:cs="Arial"/>
          <w:b/>
          <w:sz w:val="24"/>
          <w:szCs w:val="24"/>
        </w:rPr>
      </w:pPr>
    </w:p>
    <w:p w:rsidR="00B80524" w:rsidRPr="00EC4124" w:rsidRDefault="00B80524" w:rsidP="00B80524">
      <w:pPr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t>V. Praca i energia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3118"/>
        <w:gridCol w:w="256"/>
        <w:gridCol w:w="3271"/>
        <w:gridCol w:w="301"/>
        <w:gridCol w:w="3218"/>
        <w:gridCol w:w="467"/>
        <w:gridCol w:w="2405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Praca mechaniczna i zmiana energii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pracy mechanicznej wraz z jej jednostką;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energii mechanicznej.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stosuje do obliczeń związek pracy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siłą i drogą, na jakiej została wykonana.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wykonaną pracę jako zmianę energii;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 z danych.</w:t>
            </w:r>
          </w:p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4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rozróżnia pracę wykonaną przez ciało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i pracę wykonaną nad ciałem;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4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oblicza pracę z wykresu zależności siły działającej na ciało od jego przemieszczenia.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Energia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kinetyczna i energia potencjalna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posługuje się pojęciem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energii: kinetycznej, potencjalnej grawitacji i potencjalnej sprężystości.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opisuje wykonaną pracę jako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zmianę energii.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oblicza zmianę energii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potencjalnej grawitacji oraz zmianę energii kinetycznej;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</w:t>
            </w:r>
            <w:r w:rsidRPr="00EC4124">
              <w:rPr>
                <w:rStyle w:val="Odwoaniedokomentarza"/>
                <w:rFonts w:ascii="Arial" w:hAnsi="Arial" w:cs="Arial"/>
                <w:sz w:val="24"/>
                <w:szCs w:val="24"/>
              </w:rPr>
              <w:t xml:space="preserve"> </w:t>
            </w:r>
            <w:r w:rsidRPr="00EC4124">
              <w:rPr>
                <w:rFonts w:ascii="Arial" w:hAnsi="Arial" w:cs="Arial"/>
                <w:sz w:val="24"/>
                <w:szCs w:val="24"/>
              </w:rPr>
              <w:t>z danych.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EC4124">
            <w:pPr>
              <w:widowControl w:val="0"/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posługuje się pojęciem mocy wraz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jej jednostką.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stosuje do obliczeń związek mocy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z pracą i czasem, w którym została wykonana;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wielokrotności i podwielokrotności jednostek (kilo-, mega-).</w:t>
            </w:r>
          </w:p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przeprowadza obliczenia i zapisuje wynik zgodnie z zasadami zaokrąglania oraz zachowaniem liczby cyfr znaczących wynikającej z danych.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9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doświadczalnie wyznacza moc;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9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stosuje różne jednostki mocy.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Spadek swobodny</w:t>
            </w:r>
          </w:p>
        </w:tc>
        <w:tc>
          <w:tcPr>
            <w:tcW w:w="3118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nazywa ruchem zmiennym ruch,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w którym wartość prędkości się zmienia.</w:t>
            </w:r>
          </w:p>
        </w:tc>
        <w:tc>
          <w:tcPr>
            <w:tcW w:w="3828" w:type="dxa"/>
            <w:gridSpan w:val="3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spadek swobodny jako przykład ruchu jednostajnie przyspieszonego;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zmianę energii potencjalnej grawitacji oraz zmianę energii kinetycznej.</w:t>
            </w:r>
          </w:p>
        </w:tc>
        <w:tc>
          <w:tcPr>
            <w:tcW w:w="3685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wykorzystuje zasadę zachowania energii mechanicznej do opisu zjawisk;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wykorzystuje zasadę zachowania energii mechanicznej do obliczeń.</w:t>
            </w:r>
          </w:p>
        </w:tc>
        <w:tc>
          <w:tcPr>
            <w:tcW w:w="2405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opisuje zasadę zachowania energii.</w:t>
            </w:r>
          </w:p>
        </w:tc>
      </w:tr>
    </w:tbl>
    <w:p w:rsidR="00B80524" w:rsidRPr="00EC4124" w:rsidRDefault="00B80524" w:rsidP="00B80524">
      <w:pPr>
        <w:rPr>
          <w:rFonts w:ascii="Arial" w:hAnsi="Arial" w:cs="Arial"/>
          <w:b/>
          <w:sz w:val="24"/>
          <w:szCs w:val="24"/>
        </w:rPr>
      </w:pPr>
    </w:p>
    <w:p w:rsidR="00B80524" w:rsidRPr="00EC4124" w:rsidRDefault="00B80524" w:rsidP="00B80524">
      <w:pPr>
        <w:widowControl w:val="0"/>
        <w:spacing w:after="60"/>
        <w:rPr>
          <w:rFonts w:ascii="Arial" w:hAnsi="Arial" w:cs="Arial"/>
          <w:b/>
          <w:color w:val="577ABC"/>
          <w:sz w:val="24"/>
          <w:szCs w:val="24"/>
        </w:rPr>
      </w:pPr>
      <w:r w:rsidRPr="00EC4124">
        <w:rPr>
          <w:rFonts w:ascii="Arial" w:hAnsi="Arial" w:cs="Arial"/>
          <w:b/>
          <w:color w:val="577ABC"/>
          <w:sz w:val="24"/>
          <w:szCs w:val="24"/>
        </w:rPr>
        <w:lastRenderedPageBreak/>
        <w:t>VI. Zjawiska cieplne</w:t>
      </w:r>
    </w:p>
    <w:tbl>
      <w:tblPr>
        <w:tblW w:w="15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"/>
        <w:gridCol w:w="1483"/>
        <w:gridCol w:w="2693"/>
        <w:gridCol w:w="681"/>
        <w:gridCol w:w="2579"/>
        <w:gridCol w:w="692"/>
        <w:gridCol w:w="3519"/>
        <w:gridCol w:w="2872"/>
      </w:tblGrid>
      <w:tr w:rsidR="00B80524" w:rsidRPr="00EC4124" w:rsidTr="00EC4124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14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konieczne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podstawowe</w:t>
            </w:r>
          </w:p>
        </w:tc>
        <w:tc>
          <w:tcPr>
            <w:tcW w:w="35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ponadpodstawowe</w:t>
            </w:r>
          </w:p>
        </w:tc>
        <w:tc>
          <w:tcPr>
            <w:tcW w:w="2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dopełniające</w:t>
            </w:r>
          </w:p>
        </w:tc>
      </w:tr>
      <w:tr w:rsidR="00B80524" w:rsidRPr="00EC4124" w:rsidTr="00EC4124">
        <w:trPr>
          <w:trHeight w:val="20"/>
        </w:trPr>
        <w:tc>
          <w:tcPr>
            <w:tcW w:w="6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77ABC"/>
              <w:right w:val="single" w:sz="4" w:space="0" w:color="FFFFFF" w:themeColor="background1"/>
            </w:tcBorders>
            <w:shd w:val="clear" w:color="auto" w:fill="577A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Wszystko ma temperaturę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temperatury.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rozpoznaje, że ciała o równej temperaturze pozostają w stanie równowagi termicznej.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wskazuje, że nie następuje przekazywanie energii (...) między ciałami o tej samej temperaturze.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pStyle w:val="Akapitzlist"/>
              <w:widowControl w:val="0"/>
              <w:numPr>
                <w:ilvl w:val="0"/>
                <w:numId w:val="29"/>
              </w:numPr>
              <w:spacing w:after="60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opisuje zasadę działania baterii termostatycznej.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Termometry i pomiar temperatury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skalą temperatur Celsjusza;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pomiaru temperatury wraz z jego jednostką.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skalą temperatur Kelvina;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przelicza temperaturę w skali Celsjusza na temperaturę w skali Kelvina i odwrotnie.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skalą temperatur Fahrenheita.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przelicza temperaturę w skali Celsjusza na temperaturę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w skali Fahrenheita i odwrotnie;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2"/>
              </w:numPr>
              <w:spacing w:after="60"/>
              <w:ind w:left="425" w:hanging="359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posługuje się pojęciem temperatury odczuwalnej (jakościowo).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Energia wewnętrzna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wskazuje, że energię układu (energię wewnętrzną)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można zmienić.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 xml:space="preserve">wskazuje, że energię układu (energię wewnętrzną) można zmienić przez </w:t>
            </w: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wykonanie nad nim pracy lub przez przekazanie energii w postaci ciepła.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5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lastRenderedPageBreak/>
              <w:t>analizuje jakościowo związek między temperaturą a średnią energią kinetyczną (ruchu chaotycznego) cząsteczek.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9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wymienia przykłady sytuacji praktycznych, w których zmienia się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energia wewnętrzna układu.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Ciepło właściwe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ciepła właściwego.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posługuje się pojęciem ciepła właściwego wraz z jego jednostką.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wyznacza ciepło właściwe wody z użyciem czajnika elektrycznego lub grzałki o znanej mocy, termometru, cylindra miarowego lub wagi;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zapisuje wynik doświadczalnego wyznaczenia ciepła właściwego wody wraz z jego jednostką oraz z uwzględnieniem informacji o niepewności.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3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opisuje związek ciepła właściwego substancji, z jakiej wykonane jest ciało, z jego zastosowaniem.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34.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Stany skupienia a temperatura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i podaje nazwy zmian stanu skupienia;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demonstruje zjawisko topnienia.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zjawiska topnienia, krzepnięcia, wrzenia, skraplania jako procesy, w których dostarczenie energii w postaci ciepła nie powoduje zmiany temperatury;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demonstruje zjawiska wrzenia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skraplania.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zjawiska sublimacji i resublimacji jako procesy, w których dostarczenie energii w postaci ciepła nie powoduje zmiany temperatury.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5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wskazuje przykłady ciał stałych, których cząsteczki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br/>
              <w:t>nie tworzą uporządkowanej struktury;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5"/>
              </w:numPr>
              <w:spacing w:after="60"/>
              <w:ind w:left="425"/>
              <w:rPr>
                <w:rFonts w:ascii="Arial" w:hAnsi="Arial" w:cs="Arial"/>
                <w:color w:val="38761D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opisuje procesy powstawania różnych osadów atmosferyczne (rosy, mgły, szadzi oraz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szronu).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Energia podczas zmian stanu skupienia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i podaje nazwy zmian stanu skupienia.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1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zjawiska topnienia, krzepnięcia, wrzenia, skraplania jako procesy, w których dostarczenie energii w postaci ciepła nie powoduje zmiany temperatury.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EC4124">
            <w:pPr>
              <w:widowControl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4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posługuje się pojęciami ciepła topnienia i ciepła parowania wraz z ich jednostkami.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36.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Transport ciepła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zjawisko przewodnictwa cieplnego.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rozróżnia materiały o różnym przewodnictwie; 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ruch gazów i cieczy w zjawisku konwekcji;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doświadczalnie bada zjawisko przewodnictwa cieplnego.</w:t>
            </w:r>
          </w:p>
          <w:p w:rsidR="00B80524" w:rsidRPr="00EC4124" w:rsidRDefault="00B80524" w:rsidP="00EC4124">
            <w:pPr>
              <w:widowControl w:val="0"/>
              <w:spacing w:after="60"/>
              <w:ind w:left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opisuje rolę izolacji cieplnej;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10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określa, który z badanych materiałów jest lepszym przewodnikiem ciepła.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5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posługuje się pojęciem prądów konwekcyjnych i opisuje przykłady ich występowania.</w:t>
            </w:r>
          </w:p>
        </w:tc>
      </w:tr>
      <w:tr w:rsidR="00B80524" w:rsidRPr="00EC4124" w:rsidTr="00EC4124">
        <w:trPr>
          <w:trHeight w:val="420"/>
        </w:trPr>
        <w:tc>
          <w:tcPr>
            <w:tcW w:w="60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124">
              <w:rPr>
                <w:rFonts w:ascii="Arial" w:hAnsi="Arial" w:cs="Arial"/>
                <w:b/>
                <w:sz w:val="24"/>
                <w:szCs w:val="24"/>
              </w:rPr>
              <w:t>37.</w:t>
            </w:r>
          </w:p>
        </w:tc>
        <w:tc>
          <w:tcPr>
            <w:tcW w:w="148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524" w:rsidRPr="00EC4124" w:rsidRDefault="00B80524" w:rsidP="00EC4124">
            <w:pPr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Kinetyczno-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molekularny model budowy materii</w:t>
            </w:r>
          </w:p>
        </w:tc>
        <w:tc>
          <w:tcPr>
            <w:tcW w:w="2693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3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rozróżnia pojęcia: obserwacja, pomiar, doświadczenie.</w:t>
            </w:r>
          </w:p>
        </w:tc>
        <w:tc>
          <w:tcPr>
            <w:tcW w:w="3260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3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 xml:space="preserve">przeprowadza wybrane obserwacje </w:t>
            </w:r>
            <w:r w:rsidRPr="00EC4124">
              <w:rPr>
                <w:rFonts w:ascii="Arial" w:hAnsi="Arial" w:cs="Arial"/>
                <w:sz w:val="24"/>
                <w:szCs w:val="24"/>
              </w:rPr>
              <w:br/>
              <w:t>i pomiary na podstawie ich opisów.</w:t>
            </w:r>
          </w:p>
        </w:tc>
        <w:tc>
          <w:tcPr>
            <w:tcW w:w="4211" w:type="dxa"/>
            <w:gridSpan w:val="2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23"/>
              </w:numPr>
              <w:spacing w:after="60"/>
              <w:ind w:left="425" w:hanging="359"/>
              <w:rPr>
                <w:rFonts w:ascii="Arial" w:hAnsi="Arial" w:cs="Arial"/>
                <w:sz w:val="24"/>
                <w:szCs w:val="24"/>
              </w:rPr>
            </w:pPr>
            <w:r w:rsidRPr="00EC4124">
              <w:rPr>
                <w:rFonts w:ascii="Arial" w:hAnsi="Arial" w:cs="Arial"/>
                <w:sz w:val="24"/>
                <w:szCs w:val="24"/>
              </w:rPr>
              <w:t>analizuje właściwości substancji w różnych stanach skupienia wynikające z budowy mikroskopowej ciał stałych, cieczy i gazów.</w:t>
            </w:r>
          </w:p>
        </w:tc>
        <w:tc>
          <w:tcPr>
            <w:tcW w:w="2872" w:type="dxa"/>
            <w:tcBorders>
              <w:top w:val="single" w:sz="4" w:space="0" w:color="577ABC"/>
              <w:left w:val="single" w:sz="4" w:space="0" w:color="577ABC"/>
              <w:bottom w:val="single" w:sz="4" w:space="0" w:color="577ABC"/>
              <w:right w:val="single" w:sz="4" w:space="0" w:color="577A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524" w:rsidRPr="00EC4124" w:rsidRDefault="00B80524" w:rsidP="00B80524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ascii="Arial" w:hAnsi="Arial" w:cs="Arial"/>
                <w:color w:val="577ABC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>wymienia cechy modelu fizycznego i jego zastosowanie;</w:t>
            </w:r>
          </w:p>
          <w:p w:rsidR="00B80524" w:rsidRPr="00EC4124" w:rsidRDefault="00B80524" w:rsidP="00B80524">
            <w:pPr>
              <w:widowControl w:val="0"/>
              <w:numPr>
                <w:ilvl w:val="0"/>
                <w:numId w:val="7"/>
              </w:numPr>
              <w:spacing w:after="60"/>
              <w:ind w:left="425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t xml:space="preserve">wymienia założenia kinetyczno-molekularnego </w:t>
            </w:r>
            <w:r w:rsidRPr="00EC4124">
              <w:rPr>
                <w:rFonts w:ascii="Arial" w:hAnsi="Arial" w:cs="Arial"/>
                <w:color w:val="577ABC"/>
                <w:sz w:val="24"/>
                <w:szCs w:val="24"/>
              </w:rPr>
              <w:lastRenderedPageBreak/>
              <w:t>modelu budowy materii.</w:t>
            </w:r>
          </w:p>
        </w:tc>
      </w:tr>
    </w:tbl>
    <w:p w:rsidR="00B80524" w:rsidRPr="00EC4124" w:rsidRDefault="00B80524" w:rsidP="00B80524">
      <w:pPr>
        <w:widowControl w:val="0"/>
        <w:rPr>
          <w:rFonts w:ascii="Arial" w:hAnsi="Arial" w:cs="Arial"/>
          <w:b/>
          <w:sz w:val="24"/>
          <w:szCs w:val="24"/>
        </w:rPr>
      </w:pPr>
    </w:p>
    <w:p w:rsidR="00F918BD" w:rsidRPr="00EC4124" w:rsidRDefault="00F918BD" w:rsidP="00D1167D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EC4124">
        <w:rPr>
          <w:rFonts w:ascii="Arial" w:hAnsi="Arial" w:cs="Arial"/>
          <w:sz w:val="24"/>
          <w:szCs w:val="24"/>
        </w:rPr>
        <w:tab/>
      </w:r>
      <w:r w:rsidRPr="00EC4124">
        <w:rPr>
          <w:rFonts w:ascii="Arial" w:hAnsi="Arial" w:cs="Arial"/>
          <w:sz w:val="24"/>
          <w:szCs w:val="24"/>
        </w:rPr>
        <w:tab/>
      </w:r>
      <w:r w:rsidRPr="00EC4124">
        <w:rPr>
          <w:rFonts w:ascii="Arial" w:hAnsi="Arial" w:cs="Arial"/>
          <w:sz w:val="24"/>
          <w:szCs w:val="24"/>
        </w:rPr>
        <w:tab/>
      </w:r>
      <w:r w:rsidRPr="00EC4124">
        <w:rPr>
          <w:rFonts w:ascii="Arial" w:hAnsi="Arial" w:cs="Arial"/>
          <w:sz w:val="24"/>
          <w:szCs w:val="24"/>
        </w:rPr>
        <w:tab/>
      </w:r>
    </w:p>
    <w:sectPr w:rsidR="00F918BD" w:rsidRPr="00EC4124" w:rsidSect="00B80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E74CFA3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BA211C"/>
    <w:multiLevelType w:val="multilevel"/>
    <w:tmpl w:val="4254F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4B7204B"/>
    <w:multiLevelType w:val="multilevel"/>
    <w:tmpl w:val="D0ACEF90"/>
    <w:lvl w:ilvl="0">
      <w:start w:val="1"/>
      <w:numFmt w:val="bullet"/>
      <w:lvlText w:val=""/>
      <w:lvlJc w:val="left"/>
      <w:pPr>
        <w:tabs>
          <w:tab w:val="num" w:pos="-2"/>
        </w:tabs>
        <w:ind w:left="0" w:firstLine="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521" w:firstLine="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1549" w:firstLine="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1577" w:firstLine="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1605" w:firstLine="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1633" w:firstLine="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1661" w:firstLine="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1689" w:firstLine="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1717" w:firstLine="0"/>
      </w:pPr>
      <w:rPr>
        <w:rFonts w:hint="default"/>
        <w:u w:val="none"/>
      </w:rPr>
    </w:lvl>
  </w:abstractNum>
  <w:abstractNum w:abstractNumId="16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942F55"/>
    <w:multiLevelType w:val="multilevel"/>
    <w:tmpl w:val="3456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9D010ED"/>
    <w:multiLevelType w:val="multilevel"/>
    <w:tmpl w:val="A920D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71AC"/>
    <w:multiLevelType w:val="multilevel"/>
    <w:tmpl w:val="EBA49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1B430A8"/>
    <w:multiLevelType w:val="multilevel"/>
    <w:tmpl w:val="87B80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0431A"/>
    <w:multiLevelType w:val="hybridMultilevel"/>
    <w:tmpl w:val="6794FE04"/>
    <w:lvl w:ilvl="0" w:tplc="A992E7A4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38AE3A69"/>
    <w:multiLevelType w:val="multilevel"/>
    <w:tmpl w:val="A1467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73407C"/>
    <w:multiLevelType w:val="multilevel"/>
    <w:tmpl w:val="3A68F4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26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4A77"/>
    <w:multiLevelType w:val="multilevel"/>
    <w:tmpl w:val="A1BEA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7BB05CD"/>
    <w:multiLevelType w:val="multilevel"/>
    <w:tmpl w:val="D7601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9477809"/>
    <w:multiLevelType w:val="multilevel"/>
    <w:tmpl w:val="751AE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4E2926"/>
    <w:multiLevelType w:val="multilevel"/>
    <w:tmpl w:val="CA1AC048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31" w15:restartNumberingAfterBreak="0">
    <w:nsid w:val="4B8322B7"/>
    <w:multiLevelType w:val="multilevel"/>
    <w:tmpl w:val="CC5C9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C5567C"/>
    <w:multiLevelType w:val="multilevel"/>
    <w:tmpl w:val="6EE84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E9F759C"/>
    <w:multiLevelType w:val="multilevel"/>
    <w:tmpl w:val="F9444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06736A1"/>
    <w:multiLevelType w:val="multilevel"/>
    <w:tmpl w:val="5D4EC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3568C9"/>
    <w:multiLevelType w:val="multilevel"/>
    <w:tmpl w:val="8D10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792E2C"/>
    <w:multiLevelType w:val="multilevel"/>
    <w:tmpl w:val="BA56F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C795EC9"/>
    <w:multiLevelType w:val="multilevel"/>
    <w:tmpl w:val="CA722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D030FDC"/>
    <w:multiLevelType w:val="multilevel"/>
    <w:tmpl w:val="C53C19B6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39" w15:restartNumberingAfterBreak="0">
    <w:nsid w:val="63E5274B"/>
    <w:multiLevelType w:val="multilevel"/>
    <w:tmpl w:val="6FF80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CD38A1"/>
    <w:multiLevelType w:val="multilevel"/>
    <w:tmpl w:val="510243EC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14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6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8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0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02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74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6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86" w:hanging="360"/>
      </w:pPr>
      <w:rPr>
        <w:u w:val="none"/>
      </w:rPr>
    </w:lvl>
  </w:abstractNum>
  <w:abstractNum w:abstractNumId="41" w15:restartNumberingAfterBreak="0">
    <w:nsid w:val="6FB82E79"/>
    <w:multiLevelType w:val="multilevel"/>
    <w:tmpl w:val="1EAAD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6D2C12"/>
    <w:multiLevelType w:val="multilevel"/>
    <w:tmpl w:val="4490A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80443"/>
    <w:multiLevelType w:val="multilevel"/>
    <w:tmpl w:val="CA1A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5" w15:restartNumberingAfterBreak="0">
    <w:nsid w:val="7E2069E5"/>
    <w:multiLevelType w:val="multilevel"/>
    <w:tmpl w:val="239A5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F523783"/>
    <w:multiLevelType w:val="multilevel"/>
    <w:tmpl w:val="6F16F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15"/>
  </w:num>
  <w:num w:numId="3">
    <w:abstractNumId w:val="31"/>
  </w:num>
  <w:num w:numId="4">
    <w:abstractNumId w:val="34"/>
  </w:num>
  <w:num w:numId="5">
    <w:abstractNumId w:val="45"/>
  </w:num>
  <w:num w:numId="6">
    <w:abstractNumId w:val="32"/>
  </w:num>
  <w:num w:numId="7">
    <w:abstractNumId w:val="28"/>
  </w:num>
  <w:num w:numId="8">
    <w:abstractNumId w:val="14"/>
  </w:num>
  <w:num w:numId="9">
    <w:abstractNumId w:val="37"/>
  </w:num>
  <w:num w:numId="10">
    <w:abstractNumId w:val="46"/>
  </w:num>
  <w:num w:numId="11">
    <w:abstractNumId w:val="38"/>
  </w:num>
  <w:num w:numId="12">
    <w:abstractNumId w:val="27"/>
  </w:num>
  <w:num w:numId="13">
    <w:abstractNumId w:val="41"/>
  </w:num>
  <w:num w:numId="14">
    <w:abstractNumId w:val="20"/>
  </w:num>
  <w:num w:numId="15">
    <w:abstractNumId w:val="33"/>
  </w:num>
  <w:num w:numId="16">
    <w:abstractNumId w:val="35"/>
  </w:num>
  <w:num w:numId="17">
    <w:abstractNumId w:val="24"/>
  </w:num>
  <w:num w:numId="18">
    <w:abstractNumId w:val="21"/>
  </w:num>
  <w:num w:numId="19">
    <w:abstractNumId w:val="25"/>
  </w:num>
  <w:num w:numId="20">
    <w:abstractNumId w:val="29"/>
  </w:num>
  <w:num w:numId="21">
    <w:abstractNumId w:val="39"/>
  </w:num>
  <w:num w:numId="22">
    <w:abstractNumId w:val="36"/>
  </w:num>
  <w:num w:numId="23">
    <w:abstractNumId w:val="17"/>
  </w:num>
  <w:num w:numId="24">
    <w:abstractNumId w:val="18"/>
  </w:num>
  <w:num w:numId="25">
    <w:abstractNumId w:val="42"/>
  </w:num>
  <w:num w:numId="26">
    <w:abstractNumId w:val="30"/>
  </w:num>
  <w:num w:numId="27">
    <w:abstractNumId w:val="40"/>
  </w:num>
  <w:num w:numId="28">
    <w:abstractNumId w:val="44"/>
  </w:num>
  <w:num w:numId="29">
    <w:abstractNumId w:val="23"/>
  </w:num>
  <w:num w:numId="30">
    <w:abstractNumId w:val="2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22"/>
  </w:num>
  <w:num w:numId="46">
    <w:abstractNumId w:val="19"/>
  </w:num>
  <w:num w:numId="47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D"/>
    <w:rsid w:val="0007704D"/>
    <w:rsid w:val="00080D9C"/>
    <w:rsid w:val="00116820"/>
    <w:rsid w:val="00240A21"/>
    <w:rsid w:val="0028725B"/>
    <w:rsid w:val="00353A3B"/>
    <w:rsid w:val="00380A1A"/>
    <w:rsid w:val="0039545B"/>
    <w:rsid w:val="00462BF5"/>
    <w:rsid w:val="00463563"/>
    <w:rsid w:val="005C6DE1"/>
    <w:rsid w:val="00683599"/>
    <w:rsid w:val="006C7E8E"/>
    <w:rsid w:val="006F3CC5"/>
    <w:rsid w:val="00911D5D"/>
    <w:rsid w:val="009653C1"/>
    <w:rsid w:val="00992882"/>
    <w:rsid w:val="009976E7"/>
    <w:rsid w:val="009B7EEE"/>
    <w:rsid w:val="00A134FE"/>
    <w:rsid w:val="00AF47E9"/>
    <w:rsid w:val="00B033AD"/>
    <w:rsid w:val="00B80524"/>
    <w:rsid w:val="00BE54ED"/>
    <w:rsid w:val="00D1167D"/>
    <w:rsid w:val="00E30B3D"/>
    <w:rsid w:val="00E82DBC"/>
    <w:rsid w:val="00EC4124"/>
    <w:rsid w:val="00F918BD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919D-52D2-4E23-A51E-B27200B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5B"/>
  </w:style>
  <w:style w:type="paragraph" w:styleId="Nagwek1">
    <w:name w:val="heading 1"/>
    <w:basedOn w:val="Normalny"/>
    <w:next w:val="Tekstpodstawowy"/>
    <w:link w:val="Nagwek1Znak"/>
    <w:qFormat/>
    <w:rsid w:val="00B80524"/>
    <w:pPr>
      <w:numPr>
        <w:numId w:val="30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B80524"/>
    <w:pPr>
      <w:numPr>
        <w:ilvl w:val="1"/>
        <w:numId w:val="30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A21"/>
    <w:pPr>
      <w:ind w:left="720"/>
      <w:contextualSpacing/>
    </w:pPr>
  </w:style>
  <w:style w:type="table" w:styleId="Tabela-Siatka">
    <w:name w:val="Table Grid"/>
    <w:basedOn w:val="Standardowy"/>
    <w:rsid w:val="00A1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A134FE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A134F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A134FE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A134FE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A134FE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A134F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A134FE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52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052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B8052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B80524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0524"/>
    <w:rPr>
      <w:rFonts w:ascii="Swis721BlkCnEU-Italic" w:eastAsia="Swis721BlkCnEU-Italic" w:hAnsi="Swis721BlkCnEU-Italic" w:cs="Swis721BlkCnEU-Ital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3789</Words>
  <Characters>22737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dcterms:created xsi:type="dcterms:W3CDTF">2023-09-26T17:52:00Z</dcterms:created>
  <dcterms:modified xsi:type="dcterms:W3CDTF">2023-09-26T17:52:00Z</dcterms:modified>
</cp:coreProperties>
</file>