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SZCZEGÓŁOWE WARUNKI I SPOSOBY OCENIANIA Z BIOLOGII 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7a</w:t>
      </w: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 xml:space="preserve">-         estetykę zeszytu,   kompletność notatek wykonanych na lekcji, sposób wykorzystania materiałów otrzymanych od nauczyciela </w:t>
      </w:r>
      <w:r>
        <w:rPr>
          <w:rFonts w:ascii="Swis721BlkCnEU-Italic" w:eastAsia="Swis721BlkCnEU-Italic" w:hAnsi="Swis721BlkCnEU-Italic" w:cs="Swis721BlkCnEU-Italic"/>
          <w:sz w:val="24"/>
          <w:szCs w:val="24"/>
        </w:rPr>
        <w:br/>
      </w: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( staranność wklejenia, prawidłowy opis  rysunków, schematów etc. )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W przypadku braku zeszytu na lekcji uczeń jest zobowiązany sporządzać na bieżąco  notatkę tak, aby nie trzeba było pożyczać zeszytu od innego ucznia </w:t>
      </w:r>
      <w:r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w celu jej uzupełnienia.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8E3306" w:rsidRPr="003B21DB" w:rsidRDefault="008E3306" w:rsidP="008E3306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Sprawdziany pisemne przeprowadzane są po zakończeniu każdego działu, mogą być również przeprowadzone przed zakończeniem półrocza lub </w:t>
      </w:r>
      <w:r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na koniec roku szkolnego.</w:t>
      </w:r>
    </w:p>
    <w:p w:rsidR="008E3306" w:rsidRPr="003B21DB" w:rsidRDefault="008E3306" w:rsidP="008E33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8E3306" w:rsidRPr="003B21DB" w:rsidRDefault="008E3306" w:rsidP="008E3306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Nauczyciel oddaje sprawdzone prace pisemne w terminie do 2 tygodni od daty napisania przez uczniów.</w:t>
      </w:r>
    </w:p>
    <w:p w:rsidR="008E3306" w:rsidRPr="003B21DB" w:rsidRDefault="008E3306" w:rsidP="008E330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lastRenderedPageBreak/>
        <w:t>-         100 % - celujący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-   </w:t>
      </w:r>
      <w:r w:rsidR="00A3156C">
        <w:rPr>
          <w:rFonts w:ascii="Humanst521EU-Normal" w:eastAsia="Humanst521EU-Normal" w:hAnsi="Humanst521EU-Normal" w:cs="Humanst521EU-Normal"/>
          <w:b/>
        </w:rPr>
        <w:t xml:space="preserve">    </w:t>
      </w:r>
      <w:bookmarkStart w:id="0" w:name="_GoBack"/>
      <w:bookmarkEnd w:id="0"/>
      <w:r w:rsidRPr="003B21DB">
        <w:rPr>
          <w:rFonts w:ascii="Humanst521EU-Normal" w:eastAsia="Humanst521EU-Normal" w:hAnsi="Humanst521EU-Normal" w:cs="Humanst521EU-Normal"/>
          <w:b/>
        </w:rPr>
        <w:t>90 %  - 99%  - ocena bardzo dobra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najbliższej lekcji biologii.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6. W przypadku ucieczki z lekcji, wagarów uczeń pisze sprawdzian na najbliższej lekcji biologii.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8E3306" w:rsidRPr="003B21DB" w:rsidRDefault="008E3306" w:rsidP="008E330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8E3306" w:rsidRPr="003B21DB" w:rsidRDefault="008E3306" w:rsidP="008E3306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8E3306" w:rsidRPr="003B21DB" w:rsidRDefault="008E3306" w:rsidP="008E3306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C60A54" w:rsidRDefault="00C60A54" w:rsidP="008E330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3306" w:rsidRPr="003B21DB" w:rsidRDefault="008E3306" w:rsidP="008E330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ODPOWIEDZI USTNE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     1.Przy odpowiedzi ustnej obowiązuje znajomość bieżącego materiału ( dwie lekcje wstecz), w przypadku lekcji powtórzeniowej obowiązuje znajomość całego działu.</w:t>
      </w:r>
    </w:p>
    <w:p w:rsidR="008E3306" w:rsidRPr="003B21DB" w:rsidRDefault="008E3306" w:rsidP="008E3306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8E3306" w:rsidRPr="003B21DB" w:rsidRDefault="008E3306" w:rsidP="008E330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lastRenderedPageBreak/>
        <w:t xml:space="preserve">Uczeń ma prawo do zwolnienia z odpytywania i oceniania (bez konsekwencji) po tygodniowej lub dłuższej usprawiedliwionej nieobecności. 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8E3306" w:rsidRPr="003B21DB" w:rsidRDefault="008E3306" w:rsidP="008E33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3B21DB">
        <w:rPr>
          <w:rFonts w:ascii="Humanst521EU-Normal" w:eastAsia="Humanst521EU-Normal" w:hAnsi="Humanst521EU-Normal" w:cs="Humanst521EU-Normal"/>
          <w:b/>
        </w:rPr>
        <w:t>dwa nieprzygotowania</w:t>
      </w:r>
      <w:r w:rsidRPr="003B21DB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8E3306" w:rsidRPr="003B21DB" w:rsidRDefault="008E3306" w:rsidP="008E3306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 </w:t>
      </w:r>
    </w:p>
    <w:p w:rsidR="008E3306" w:rsidRPr="003B21DB" w:rsidRDefault="008E3306" w:rsidP="008E330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8E3306" w:rsidRPr="003B21DB" w:rsidRDefault="008E3306" w:rsidP="008E3306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8E3306" w:rsidRPr="003B21DB" w:rsidRDefault="008E3306" w:rsidP="008E330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8E3306" w:rsidRPr="003B21DB" w:rsidRDefault="001045B9" w:rsidP="008E3306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  <w:b/>
        </w:rPr>
        <w:t>Dwa razy w półroczu</w:t>
      </w:r>
      <w:r w:rsidR="008E3306" w:rsidRPr="003B21DB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="008E3306" w:rsidRPr="003B21DB">
        <w:rPr>
          <w:rFonts w:ascii="Humanst521EU-Normal" w:eastAsia="Humanst521EU-Normal" w:hAnsi="Humanst521EU-Normal" w:cs="Humanst521EU-Normal"/>
        </w:rPr>
        <w:t xml:space="preserve"> i jest zobowiązany uzupełnić je na następną lekcję. Trzeci i każdy kolejny brak zadania skutkuje oceną niedostateczną.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8E3306" w:rsidRPr="003B21DB" w:rsidRDefault="008E3306" w:rsidP="008E330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8E3306" w:rsidRPr="003B21DB" w:rsidRDefault="008E3306" w:rsidP="008E3306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Uczeń ma obowiązek noszenia zeszytu ćwiczeń na każdą lekcję z danego przedmiotu.</w:t>
      </w:r>
    </w:p>
    <w:p w:rsidR="008E3306" w:rsidRPr="003B21DB" w:rsidRDefault="008E3306" w:rsidP="008E3306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8E3306" w:rsidRPr="003B21DB" w:rsidRDefault="008E3306" w:rsidP="008E3306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8E3306" w:rsidRPr="003B21DB" w:rsidRDefault="008E3306" w:rsidP="008E3306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8E3306" w:rsidRPr="003B21DB" w:rsidRDefault="008E3306" w:rsidP="008E3306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Zeszyt ćwiczeń będzie oceniony przynajmniej jeden raz w roku szkolnym, biorąc pod uwagę staranność, systematyczność i poprawność rzeczową.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  <w:b/>
          <w:bCs/>
        </w:rPr>
      </w:pPr>
      <w:r w:rsidRPr="003B21DB">
        <w:rPr>
          <w:rFonts w:ascii="Humanst521EU-Normal" w:eastAsia="Humanst521EU-Normal" w:hAnsi="Humanst521EU-Normal" w:cs="Humanst521EU-Normal"/>
        </w:rPr>
        <w:br/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t>AKTYWNOŚĆ I PRZYGOTOWANIE DO LEKCJI</w:t>
      </w:r>
    </w:p>
    <w:p w:rsidR="008E3306" w:rsidRPr="003B21DB" w:rsidRDefault="008E3306" w:rsidP="008E330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8E3306" w:rsidRPr="003B21DB" w:rsidRDefault="008E3306" w:rsidP="008E330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8E3306" w:rsidRPr="003B21DB" w:rsidRDefault="008E3306" w:rsidP="008E330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lastRenderedPageBreak/>
        <w:t xml:space="preserve">Minus można otrzymać za brak zaangażowania, brak uwagi na lekcji, brak potrzebnych materiałów. </w:t>
      </w:r>
    </w:p>
    <w:p w:rsidR="008E3306" w:rsidRPr="003B21DB" w:rsidRDefault="008E3306" w:rsidP="008E330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8E3306" w:rsidRPr="003B21DB" w:rsidRDefault="008E3306" w:rsidP="008E330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8E3306" w:rsidRPr="003B21DB" w:rsidRDefault="008E3306" w:rsidP="008E330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8E3306" w:rsidRPr="003B21DB" w:rsidRDefault="008E3306" w:rsidP="008E3306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8E3306" w:rsidRPr="003B21DB" w:rsidRDefault="008E3306" w:rsidP="008E330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8E3306" w:rsidRPr="003B21DB" w:rsidRDefault="008E3306" w:rsidP="008E3306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8E3306" w:rsidRPr="003B21DB" w:rsidRDefault="008E3306" w:rsidP="008E330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Uczeń ma możliwość poprawy oceny: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3B21DB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3.Terminy poprawy oceny z odpowiedzi lub ze sprawdzianu w szczególnych przypadkach mogą być ustalone przez nauczyciela.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analizę plansz, rysunków, wykresów, tekstów źródłowych,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pracę w grupie,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udział i osiągnięcia w konkursach o tematyce biologicznej,</w:t>
      </w:r>
    </w:p>
    <w:p w:rsidR="008E3306" w:rsidRPr="003B21DB" w:rsidRDefault="008E3306" w:rsidP="008E33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B7071D" w:rsidRDefault="00B7071D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lastRenderedPageBreak/>
        <w:t>INNE:</w:t>
      </w:r>
    </w:p>
    <w:p w:rsidR="00B7071D" w:rsidRDefault="00B7071D" w:rsidP="00B7071D">
      <w:pPr>
        <w:widowControl w:val="0"/>
        <w:numPr>
          <w:ilvl w:val="0"/>
          <w:numId w:val="189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 xml:space="preserve">W przypadku posiadania przez ucznia </w:t>
      </w:r>
      <w:r>
        <w:rPr>
          <w:rFonts w:ascii="Humanst521EU-Normal" w:eastAsia="Humanst521EU-Normal" w:hAnsi="Humanst521EU-Normal" w:cs="Humanst521EU-Normal"/>
          <w:b/>
        </w:rPr>
        <w:t>opinii</w:t>
      </w:r>
      <w:r>
        <w:rPr>
          <w:rFonts w:ascii="Humanst521EU-Normal" w:eastAsia="Humanst521EU-Normal" w:hAnsi="Humanst521EU-Normal" w:cs="Humanst521EU-Normal"/>
        </w:rPr>
        <w:t xml:space="preserve">  lub </w:t>
      </w:r>
      <w:r>
        <w:rPr>
          <w:rFonts w:ascii="Humanst521EU-Normal" w:eastAsia="Humanst521EU-Normal" w:hAnsi="Humanst521EU-Normal" w:cs="Humanst521EU-Normal"/>
          <w:b/>
        </w:rPr>
        <w:t>orzeczenia</w:t>
      </w:r>
      <w:r>
        <w:rPr>
          <w:rFonts w:ascii="Humanst521EU-Normal" w:eastAsia="Humanst521EU-Normal" w:hAnsi="Humanst521EU-Normal" w:cs="Humanst521EU-Normal"/>
        </w:rPr>
        <w:t xml:space="preserve"> z poradni psychologiczno-pedagogicznej nauczyciel dostosowuje wymagania edukacyjne oraz formy i metody pracy do indywidualnych potrzeb i możliwości ucznia.</w:t>
      </w:r>
    </w:p>
    <w:p w:rsidR="00B7071D" w:rsidRDefault="00B7071D" w:rsidP="008E3306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8E3306" w:rsidRPr="003B21DB" w:rsidRDefault="008E3306" w:rsidP="008E3306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1.W ocenianiu półrocznym i końcoworocznym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8E3306" w:rsidRPr="003B21DB" w:rsidRDefault="008E3306" w:rsidP="008E3306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57063B" w:rsidRDefault="0057063B" w:rsidP="008E3306"/>
    <w:p w:rsidR="00784A9D" w:rsidRDefault="00784A9D" w:rsidP="008E3306"/>
    <w:p w:rsidR="00784A9D" w:rsidRPr="0019771B" w:rsidRDefault="00784A9D" w:rsidP="00784A9D">
      <w:pPr>
        <w:spacing w:before="15"/>
        <w:ind w:left="142"/>
        <w:rPr>
          <w:rFonts w:cstheme="minorHAnsi"/>
          <w:b/>
          <w:sz w:val="28"/>
          <w:szCs w:val="28"/>
        </w:rPr>
      </w:pPr>
      <w:r w:rsidRPr="0019771B">
        <w:rPr>
          <w:rFonts w:cstheme="minorHAnsi"/>
          <w:b/>
          <w:sz w:val="28"/>
          <w:szCs w:val="28"/>
        </w:rPr>
        <w:t>Wymagania edukacyjne z biologii dla klasy siódmej.</w:t>
      </w:r>
    </w:p>
    <w:p w:rsidR="00784A9D" w:rsidRDefault="00784A9D" w:rsidP="00784A9D">
      <w:pPr>
        <w:spacing w:before="15"/>
        <w:ind w:left="142"/>
        <w:rPr>
          <w:rFonts w:cstheme="minorHAnsi"/>
          <w:b/>
          <w:sz w:val="24"/>
          <w:szCs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784A9D" w:rsidRDefault="00784A9D" w:rsidP="00811128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  <w:lang w:val="pl-PL"/>
              </w:rPr>
            </w:pPr>
            <w:r w:rsidRPr="00784A9D">
              <w:rPr>
                <w:rFonts w:ascii="Humanst521EU"/>
                <w:b/>
                <w:sz w:val="17"/>
                <w:lang w:val="pl-PL"/>
              </w:rPr>
              <w:t>I. Organizm cz</w:t>
            </w:r>
            <w:r w:rsidRPr="00784A9D">
              <w:rPr>
                <w:rFonts w:ascii="Humanst521EU"/>
                <w:b/>
                <w:sz w:val="17"/>
                <w:lang w:val="pl-PL"/>
              </w:rPr>
              <w:t>ł</w:t>
            </w:r>
            <w:r w:rsidRPr="00784A9D">
              <w:rPr>
                <w:rFonts w:ascii="Humanst521EU"/>
                <w:b/>
                <w:sz w:val="17"/>
                <w:lang w:val="pl-PL"/>
              </w:rPr>
              <w:t>owieka. Sk</w:t>
            </w:r>
            <w:r w:rsidRPr="00784A9D">
              <w:rPr>
                <w:rFonts w:ascii="Humanst521EU"/>
                <w:b/>
                <w:sz w:val="17"/>
                <w:lang w:val="pl-PL"/>
              </w:rPr>
              <w:t>ó</w:t>
            </w:r>
            <w:r w:rsidRPr="00784A9D">
              <w:rPr>
                <w:rFonts w:ascii="Humanst521EU"/>
                <w:b/>
                <w:sz w:val="17"/>
                <w:lang w:val="pl-PL"/>
              </w:rPr>
              <w:t xml:space="preserve">ra </w:t>
            </w:r>
            <w:r w:rsidRPr="00784A9D">
              <w:rPr>
                <w:rFonts w:ascii="Humanst521EU"/>
                <w:b/>
                <w:sz w:val="17"/>
                <w:lang w:val="pl-PL"/>
              </w:rPr>
              <w:t>–</w:t>
            </w:r>
            <w:r w:rsidRPr="00784A9D">
              <w:rPr>
                <w:rFonts w:ascii="Humanst521EU"/>
                <w:b/>
                <w:sz w:val="17"/>
                <w:lang w:val="pl-PL"/>
              </w:rPr>
              <w:t xml:space="preserve"> pow</w:t>
            </w:r>
            <w:r w:rsidRPr="00784A9D">
              <w:rPr>
                <w:rFonts w:ascii="Humanst521EU"/>
                <w:b/>
                <w:sz w:val="17"/>
                <w:lang w:val="pl-PL"/>
              </w:rPr>
              <w:t>ł</w:t>
            </w:r>
            <w:r w:rsidRPr="00784A9D">
              <w:rPr>
                <w:rFonts w:ascii="Humanst521EU"/>
                <w:b/>
                <w:sz w:val="17"/>
                <w:lang w:val="pl-PL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komórkę jako podstawowy element budowy ciała człowieka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784A9D" w:rsidRPr="00653E52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najważniejsze funkcje poszczególnych tkanek zwierzęcych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rozmieszczenie przykładowych tkanek zwierzęcych w organizmie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pod mikroskopem lub na ilustracji rodzaje tkanek zwierzęcych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przyporządkowuje tkanki narządom i układom narządów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związek między budową a funkcją poszczególnych tkanek zwierzęcych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zależność między poszczególnymi układami narządów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tworzy mapę pojęciową ilustrującą hierarchiczną budowę organizmu człowieka</w:t>
            </w:r>
          </w:p>
        </w:tc>
      </w:tr>
      <w:tr w:rsidR="00784A9D" w:rsidRPr="000F05C8" w:rsidTr="0081112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funkcje skóry i warstwy podskórnej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warstwy skóry</w:t>
            </w:r>
            <w:r w:rsidRPr="00784A9D" w:rsidDel="00BB4A83">
              <w:rPr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 xml:space="preserve">na ilustracji lub schemacie 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na konkretnych przykładach związek między budową a funkcjami skóry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informacje i planuje doświadczenie wykazujące, że skóra jest narządem zmysłu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784A9D" w:rsidRDefault="00784A9D" w:rsidP="00811128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  <w:lang w:val="pl-PL"/>
              </w:rPr>
            </w:pPr>
            <w:r w:rsidRPr="00784A9D">
              <w:rPr>
                <w:rFonts w:ascii="Humanst521EU"/>
                <w:b/>
                <w:sz w:val="17"/>
                <w:lang w:val="pl-PL"/>
              </w:rPr>
              <w:t>I. Organizm cz</w:t>
            </w:r>
            <w:r w:rsidRPr="00784A9D">
              <w:rPr>
                <w:rFonts w:ascii="Humanst521EU"/>
                <w:b/>
                <w:sz w:val="17"/>
                <w:lang w:val="pl-PL"/>
              </w:rPr>
              <w:t>ł</w:t>
            </w:r>
            <w:r w:rsidRPr="00784A9D">
              <w:rPr>
                <w:rFonts w:ascii="Humanst521EU"/>
                <w:b/>
                <w:sz w:val="17"/>
                <w:lang w:val="pl-PL"/>
              </w:rPr>
              <w:t>owieka. Sk</w:t>
            </w:r>
            <w:r w:rsidRPr="00784A9D">
              <w:rPr>
                <w:rFonts w:ascii="Humanst521EU"/>
                <w:b/>
                <w:sz w:val="17"/>
                <w:lang w:val="pl-PL"/>
              </w:rPr>
              <w:t>ó</w:t>
            </w:r>
            <w:r w:rsidRPr="00784A9D">
              <w:rPr>
                <w:rFonts w:ascii="Humanst521EU"/>
                <w:b/>
                <w:sz w:val="17"/>
                <w:lang w:val="pl-PL"/>
              </w:rPr>
              <w:t>ra</w:t>
            </w:r>
            <w:r w:rsidRPr="00784A9D">
              <w:rPr>
                <w:rFonts w:ascii="Humanst521EU"/>
                <w:b/>
                <w:sz w:val="17"/>
                <w:lang w:val="pl-PL"/>
              </w:rPr>
              <w:t> –</w:t>
            </w:r>
            <w:r w:rsidRPr="00784A9D">
              <w:rPr>
                <w:rFonts w:ascii="Humanst521EU"/>
                <w:b/>
                <w:sz w:val="17"/>
                <w:lang w:val="pl-PL"/>
              </w:rPr>
              <w:t xml:space="preserve"> pow</w:t>
            </w:r>
            <w:r w:rsidRPr="00784A9D">
              <w:rPr>
                <w:rFonts w:ascii="Humanst521EU"/>
                <w:b/>
                <w:sz w:val="17"/>
                <w:lang w:val="pl-PL"/>
              </w:rPr>
              <w:t>ł</w:t>
            </w:r>
            <w:r w:rsidRPr="00784A9D">
              <w:rPr>
                <w:rFonts w:ascii="Humanst521EU"/>
                <w:b/>
                <w:sz w:val="17"/>
                <w:lang w:val="pl-PL"/>
              </w:rPr>
              <w:t>oka cia</w:t>
            </w:r>
            <w:r w:rsidRPr="00784A9D">
              <w:rPr>
                <w:rFonts w:ascii="Humanst521EU"/>
                <w:b/>
                <w:sz w:val="17"/>
                <w:lang w:val="pl-PL"/>
              </w:rPr>
              <w:t>ł</w:t>
            </w:r>
            <w:r w:rsidRPr="00784A9D">
              <w:rPr>
                <w:rFonts w:ascii="Humanst521EU"/>
                <w:b/>
                <w:sz w:val="17"/>
                <w:lang w:val="pl-PL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konieczność dbania o dobry stan skóry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zależność między ekspozycją skóry na silne nasłonecznienie a rozwojem czerniaka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ocenia wpływ promieni słonecznych na skórę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informacje o środkach kosmetycznych z filtrem UV przeznaczonych dla młodzieży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przygotowuje pytania i przeprowadza wywiad z lekarzem lub pielęgniarką na temat chorób skóry oraz profilaktyki czerniaka i grzybicy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w różnych źródłach informacje do projektu edukacyjnego</w:t>
            </w:r>
            <w:r w:rsidRPr="00784A9D" w:rsidDel="00BB4A83">
              <w:rPr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 xml:space="preserve">na temat chorób, profilaktyki i pielęgnacji skóry młodzieńczej </w:t>
            </w:r>
          </w:p>
        </w:tc>
      </w:tr>
      <w:tr w:rsidR="00784A9D" w:rsidRPr="000F05C8" w:rsidTr="0081112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części: bierną i czynną aparatu ruchu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sposób działania części biernej i czynnej aparatu ruchu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związek budowy kości z ich funkcją w organizmie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związek budowy kości z ich funkcją w organizmie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klasyfikuje podane kości pod względem kształtów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przykładzie własnego organizmu wykazuje związek budowy kości z ich funkcją</w:t>
            </w:r>
          </w:p>
        </w:tc>
      </w:tr>
      <w:tr w:rsidR="00784A9D" w:rsidRPr="000F05C8" w:rsidTr="0081112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Default="00784A9D" w:rsidP="00784A9D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784A9D" w:rsidRPr="000F05C8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Default="00784A9D" w:rsidP="00784A9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ilustracji omawia doświadczenie dotyczące chemicznej budowy kości</w:t>
            </w:r>
          </w:p>
          <w:p w:rsidR="00784A9D" w:rsidRPr="00784A9D" w:rsidRDefault="00784A9D" w:rsidP="00811128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zmiany zachodzące w obrębie kości człowieka wraz z wiekiem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związek budowy poszczególnych elementów budowy kości z pełnioną przez nie funkcją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 pomocą nauczyciela wykonuje doświadczenie dotyczące chemicznej budowy kości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wyjaśnia związek pomiędzy chemicznymi składnikami kości a funkcją pełnioną przez te struktury 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zmiany zachodzące w obrębie szkieletu człowieka wraz z wiekiem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wyjaśnia związek pomiędzy budową poszczególnych elementów kości a funkcją pełnioną przez te struktury 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wykonuje doświadczenie dotyczące chemicznej budowy kości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Default="00784A9D" w:rsidP="00784A9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samodzielnie wykonuje doświadczenie wykazujące skład chemiczny kości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informacje i przeprowadza doświadczenie ilustrujące wytrzymałość kości na złamanie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 modelu lub ilustracji mózgoczaszkę i trzewioczaszkę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narządy chronione przez klatkę piersiową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rolę chrząstek w budowie klatki piersiowej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związek budowy poszczególnych kręgów kręgosłupa z pełnioną przez nie funkcją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odcinków kręgosłupa z pełnioną przez nie funkcją</w:t>
            </w:r>
          </w:p>
          <w:p w:rsidR="00784A9D" w:rsidRPr="00784A9D" w:rsidRDefault="00784A9D" w:rsidP="00811128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lang w:val="pl-PL"/>
              </w:rPr>
            </w:pPr>
          </w:p>
        </w:tc>
      </w:tr>
      <w:tr w:rsidR="00784A9D" w:rsidRPr="000F05C8" w:rsidTr="00811128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modelu lub schemacie kości kończyny górnej i kończyny dolnej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odróżnia staw zawiasowy od stawu kulistego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kości tworzące obręcze: barkową i miedniczną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budowę kończyny górnej i dolnej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związek budowy stawu z zakresem ruchu kończyny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szkieletu kończyn z funkcjami kończyn: górnej i dolnej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szkieletu obręczy kończyn z ich funkcjami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funkcje kończyn: górnej i dolnej oraz wykazuje ich związek z funkcjonowaniem człowieka w środowisku</w:t>
            </w:r>
          </w:p>
        </w:tc>
      </w:tr>
      <w:tr w:rsidR="00784A9D" w:rsidRPr="000F05C8" w:rsidTr="0081112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mięśnie szkieletowe wskazane na ilustracji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czynności mięśni wskazanych na schemacie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 antagonistyczne działanie mięśni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784A9D" w:rsidRPr="000F05C8" w:rsidRDefault="00784A9D" w:rsidP="00811128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budowę i funkcje mięśni gładkich i poprzecznie prążkowanych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przykładzie własnego organizmu analizuje współdziałanie mięśni, ścięgien, kości i stawów w wykonywaniu ruchów</w:t>
            </w:r>
          </w:p>
          <w:p w:rsidR="00784A9D" w:rsidRPr="00784A9D" w:rsidRDefault="00784A9D" w:rsidP="00811128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  <w:lang w:val="pl-PL"/>
              </w:rPr>
            </w:pPr>
          </w:p>
        </w:tc>
      </w:tr>
      <w:tr w:rsidR="00784A9D" w:rsidRPr="000F05C8" w:rsidTr="00811128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przedstawione na 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przedstawione na ilustracji wady postawy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zasady udzielania pierwszej pomocy w przypadku urazów mechanicznych kończyn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zmiany zachodzące wraz z wiekiem w układzie kostnym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czynniki wpływające na prawidłowy rozwój muskulatury ciała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przyczyny i 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demonstruje czynności udzielania pierwszej pomocy w przypadku urazów mechanicznych kończyn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i prezentuje ćwiczenia zapobiegające deformacjom kręgosłupa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i prezentuje ćwiczenia rehabilitacyjne likwidujące płaskostopie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regularnych ćwiczeń gimnastycznych dla prawidłowego funkcjonowania aparatu ruchu</w:t>
            </w:r>
          </w:p>
        </w:tc>
      </w:tr>
    </w:tbl>
    <w:p w:rsidR="00784A9D" w:rsidRPr="000F05C8" w:rsidRDefault="00784A9D" w:rsidP="00784A9D">
      <w:pPr>
        <w:spacing w:line="204" w:lineRule="exact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przykłady</w:t>
            </w:r>
            <w:r w:rsidRPr="00784A9D">
              <w:rPr>
                <w:spacing w:val="-19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pokarmów, które są źródłem węglowodanów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 pomocą nauczyciela przebieg doświadczenia badającego wpływ substancji zawartych w ślinie na trawienie skrobi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klasyfikuje składniki odżywcze na budulcowe i energetyczne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aminokwasy jako cząsteczki budulcowe białek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omawia przebieg doświadczenia badającego wpływ substancji zawartych w ślinie na trawienie skrobi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znaczenie składników odżywczych dla 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znaczenie błonnika w prawidłowym funkcjonowaniu układu pokarmowego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784A9D" w:rsidRPr="000F05C8" w:rsidRDefault="00784A9D" w:rsidP="00811128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etykiety produktów spożywczych pod kątem zawartości różnych składników odżywczych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przeprowadza z pomocą nauczyciela doświadczenie badające wpływ substancji zawartych w ślinie na trawienie skrobi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ilustruje na przykładach źródła składników odżywczych i wyjaśnia ich znaczenie dla 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związek między spożywaniem produktów białkowych a prawidłowym wzrostem ciała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rolę aminokwasów egzogennych w organizmie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wartość energetyczną węglowodanów i tłuszczów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przeprowadza doświadczenie badające wpływ substancji zawartych w ślinie na trawienie skrobi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samodzielnie przeprowadza doświadczenie badające wpływ substancji zawartych w ślinie na trawienie skrobi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analizuje zależność między rodzajami spożywanych pokarmów a funkcjonowaniem organizmu 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informacje dotyczące roli błonnika w prawidłowym</w:t>
            </w:r>
          </w:p>
          <w:p w:rsidR="00784A9D" w:rsidRPr="000F05C8" w:rsidRDefault="00784A9D" w:rsidP="00811128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784A9D" w:rsidRPr="000F05C8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784A9D" w:rsidRPr="000F05C8" w:rsidTr="0081112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przykłady witamin rozpuszczalnych w wodzie i rozpuszczalnych w tłuszczach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najważniejsze pierwiastki budujące ciała organizmów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rolę dwóch wybranych makroelementów w organizmie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po trzy makroelementy i mikroelementy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witaminy rozpuszczalne w wodzie i rozpuszczalne w tłuszczach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znaczenie makroelementów i mikroelementów w organizmie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rolę i skutki niedoboru witamin: A, C, B</w:t>
            </w:r>
            <w:r w:rsidRPr="00784A9D">
              <w:rPr>
                <w:position w:val="-3"/>
                <w:sz w:val="12"/>
                <w:lang w:val="pl-PL"/>
              </w:rPr>
              <w:t>6</w:t>
            </w:r>
            <w:r w:rsidRPr="00784A9D">
              <w:rPr>
                <w:sz w:val="17"/>
                <w:lang w:val="pl-PL"/>
              </w:rPr>
              <w:t>, B</w:t>
            </w:r>
            <w:r w:rsidRPr="00784A9D">
              <w:rPr>
                <w:position w:val="-3"/>
                <w:sz w:val="12"/>
                <w:lang w:val="pl-PL"/>
              </w:rPr>
              <w:t>9</w:t>
            </w:r>
            <w:r w:rsidRPr="00784A9D">
              <w:rPr>
                <w:sz w:val="17"/>
                <w:lang w:val="pl-PL"/>
              </w:rPr>
              <w:t>, B</w:t>
            </w:r>
            <w:r w:rsidRPr="00784A9D">
              <w:rPr>
                <w:position w:val="-3"/>
                <w:sz w:val="12"/>
                <w:lang w:val="pl-PL"/>
              </w:rPr>
              <w:t>12</w:t>
            </w:r>
            <w:r w:rsidRPr="00784A9D">
              <w:rPr>
                <w:sz w:val="17"/>
                <w:lang w:val="pl-PL"/>
              </w:rPr>
              <w:t>,</w:t>
            </w:r>
            <w:r w:rsidRPr="00784A9D">
              <w:rPr>
                <w:spacing w:val="-4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D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784A9D" w:rsidRPr="00784A9D" w:rsidRDefault="00784A9D" w:rsidP="00811128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niedoboru składników mineralnych: Mg, Fe, Ca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skutki niewłaściwej suplementacji witamin i składników mineralnych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skutki niedoboru witamin, makroelementów i mikroelementów w organizmie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przewiduje skutki niedoboru wody w organizmie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informacje, planuje i wykonuje doświadczenie dotyczące wykrywania witaminy C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 trawienie pokarmów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odcinki przewodu pokarmowego na planszy lub modelu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wątrobę i trzustkę na schemacie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lokalizuje położenie wątroby i trzustki we własnym ciele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rolę zębów w mechanicznej obróbce pokarmu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funkcje poszczególnych odcinków przewodu pokarmowego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lokalizuje odcinki przewodu pokarmowego i wskazuje odpowiednie miejsca na powierzchni swojego ciała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przeprowadza z pomocą nauczyciela doświadczenie badające wpływ substancji zawartych w ślinie</w:t>
            </w:r>
          </w:p>
          <w:p w:rsidR="00784A9D" w:rsidRPr="000F05C8" w:rsidRDefault="00784A9D" w:rsidP="00811128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etapy trawienia pokarmów w poszczególnych odcinkach przewodu pokarmowego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miejsca wchłaniania strawionego pokarmu i wody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informacje, planuje i przeprowadza doświadczenie badające wpływ substancji zawartych w ślinie na trawienie skrobi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stosowania zróżnicowanej diety dostosowanej do potrzeb 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dbania o zęby</w:t>
            </w:r>
          </w:p>
        </w:tc>
      </w:tr>
      <w:tr w:rsidR="00784A9D" w:rsidRPr="000F05C8" w:rsidTr="0081112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13. Higiena i 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zasady zdrowego żywienia i higieny żywności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zasady profilaktyki chorób układu pokarmowego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według podanego wzoru oblicza indeks masy ciała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grupy pokarmów w piramidzie zdrowego żywienia i aktywności fizycznej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zależność diety od zmiennych warunków zewnętrznych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układa jadłospis w zależności od zmiennych warunków zewnętrznych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wyjaśnia znaczenie pojęcia </w:t>
            </w:r>
            <w:r w:rsidRPr="00784A9D">
              <w:rPr>
                <w:rFonts w:ascii="Humanst521EU" w:hAnsi="Humanst521EU"/>
                <w:i/>
                <w:sz w:val="17"/>
                <w:lang w:val="pl-PL"/>
              </w:rPr>
              <w:t>wartość energetyczna pokarmu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zależność między dietą a czynnikami, które ją warunkują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zasady profilaktyki choroby wrzodowej żołądka i dwunastnicy, zatrucia pokarmowego, raka jelita grubego oraz WZW A, WZW B i WZW C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zależność między higieną odżywiania się a chorobami układu pokarmowego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układa odpowiednią dietę dla uczniów z nadwagą</w:t>
            </w:r>
          </w:p>
          <w:p w:rsidR="00784A9D" w:rsidRPr="000F05C8" w:rsidRDefault="00784A9D" w:rsidP="00811128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przygotowuje i prezentuje wystąpienie w dowolnej formie na temat chorób związanych z zaburzeniami łaknienia i przemiany materii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</w:t>
            </w:r>
            <w:r w:rsidRPr="00784A9D">
              <w:rPr>
                <w:spacing w:val="-4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badań przesiewowych w celu wykrywania wczesnych stadiów raka jelita grubego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grupy krwi i wyjaśnia, co stanowi</w:t>
            </w:r>
          </w:p>
          <w:p w:rsidR="00784A9D" w:rsidRPr="000F05C8" w:rsidRDefault="00784A9D" w:rsidP="00811128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potrzebę wykonywania badań zapobiegających konfliktowi serologicznemu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wyniki laboratoryjnego badania krwi</w:t>
            </w:r>
          </w:p>
        </w:tc>
      </w:tr>
      <w:tr w:rsidR="00784A9D" w:rsidRPr="000F05C8" w:rsidTr="0081112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 pomocą nauczyciela omawia na podstawie ilustracji mały i duży obieg krwi</w:t>
            </w:r>
          </w:p>
        </w:tc>
        <w:tc>
          <w:tcPr>
            <w:tcW w:w="2127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budowę i funkcje żył, tętnic oraz naczyń włosowatych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drogę krwi płynącej w małym i dużym krwiobiegu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poszczególne naczynia krwionośne na ilustracji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związek przepływu krwi w naczyniach z wymianą gazową</w:t>
            </w:r>
          </w:p>
        </w:tc>
      </w:tr>
      <w:tr w:rsidR="00784A9D" w:rsidRPr="000F05C8" w:rsidTr="0081112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lokalizuje położenie serca we własnym ciele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prawidłową wartość pulsu i ciśnienia zdrowego człowieka</w:t>
            </w:r>
          </w:p>
        </w:tc>
        <w:tc>
          <w:tcPr>
            <w:tcW w:w="2127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elementy budowy serca i naczynia krwionośnego na schemacie (ilustracji z podręcznika)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rolę zastawek w funkcjonowaniu serca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wartości ciśnienia skurczowego i ciśnienia rozkurczowego krwi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przeprowadza doświadczenie wykazujące wpływ wysiłku fizycznego na zmiany tętna i ciśnienia krwi</w:t>
            </w:r>
          </w:p>
        </w:tc>
      </w:tr>
      <w:tr w:rsidR="00784A9D" w:rsidRPr="000F05C8" w:rsidTr="0081112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17. Higiena i choroby układu krwionośnego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pierwszą pomoc w wypadku krwawień i krwotoków</w:t>
            </w:r>
          </w:p>
        </w:tc>
        <w:tc>
          <w:tcPr>
            <w:tcW w:w="2127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objawy krwotoku żylnego i tętniczego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polegają białaczka i anemia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przygotowuje portfolio na temat chorób układu 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demonstruje pierwszą pomoc w wypadku krwotoków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wyszukuje i prezentuje w dowolnej formie materiały edukacyjne oświaty zdrowotnej na temat chorób społecznych: miażdżycy, nadciśnienia tętniczego </w:t>
            </w:r>
            <w:r w:rsidRPr="00784A9D">
              <w:rPr>
                <w:iCs/>
                <w:sz w:val="17"/>
                <w:lang w:val="pl-PL"/>
              </w:rPr>
              <w:t>i </w:t>
            </w:r>
            <w:r w:rsidRPr="00784A9D">
              <w:rPr>
                <w:sz w:val="17"/>
                <w:lang w:val="pl-PL"/>
              </w:rPr>
              <w:t>zawałów serca</w:t>
            </w:r>
          </w:p>
        </w:tc>
      </w:tr>
      <w:tr w:rsidR="00784A9D" w:rsidRPr="000F05C8" w:rsidTr="0081112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układ limfatyczny z układem krwionośnym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wyróżnia odporność swoistą i nieswoistą, czynną i bierną, naturalną i sztuczną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wykaz szczepień w swojej książeczce zdrowia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784A9D" w:rsidRPr="000F05C8" w:rsidTr="0081112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 transplantacja narządów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przykłady</w:t>
            </w:r>
            <w:r w:rsidRPr="00784A9D">
              <w:rPr>
                <w:spacing w:val="-13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zasady profilaktyki zakażeń HIV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alergia jest związana z nadwrażliwością układu odpornościowego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znaczenie przeszczepów oraz zgody na transplantację narządów po śmierci</w:t>
            </w:r>
          </w:p>
        </w:tc>
      </w:tr>
      <w:tr w:rsidR="00784A9D" w:rsidRPr="000F05C8" w:rsidTr="0081112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21. Budowa i rola układu oddechowego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wyróżnia drogi oddechowe i narządy wymiany gazowej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elementów układu oddechowego z pełnionymi funkcjami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płuca jako miejsce zachodzenia wymiany gazowej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między budową a funkcją płuc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wykonuje z dowolnych materiałów model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metody i bada pojemność własnych płuc</w:t>
            </w:r>
          </w:p>
        </w:tc>
      </w:tr>
      <w:tr w:rsidR="00784A9D" w:rsidRPr="000F05C8" w:rsidTr="0081112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narządy biorące udział w procesie wentylacji płuc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demonstruje na sobie mechanizm wdechu i wydechu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 pomocą nauczyciela omawia doświadczenie wykrywające obecność 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  <w:r w:rsidRPr="00784A9D">
              <w:rPr>
                <w:sz w:val="12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w wydychanym powietrzu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mitochondrium jako miejsce oddychania komórkowego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różnice w ruchach klatki piersiowej i przepony podczas wdechu i wydechu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rolę krwi w transporcie gazów oddechowych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zawartość gazów w powietrzu wdychanym i wydychanym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oblicza liczbę wdechów i wydechów przed wysiłkiem fizycznym i po nim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  <w:lang w:val="pl-PL"/>
              </w:rPr>
            </w:pPr>
            <w:r w:rsidRPr="00784A9D">
              <w:rPr>
                <w:sz w:val="17"/>
                <w:lang w:val="pl-PL"/>
              </w:rPr>
              <w:t>z pomocą nauczyciela przeprowadza doświadczenie wykrywające obecność</w:t>
            </w:r>
            <w:r w:rsidRPr="00784A9D">
              <w:rPr>
                <w:spacing w:val="-1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</w:p>
          <w:p w:rsidR="00784A9D" w:rsidRDefault="00784A9D" w:rsidP="00811128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zapisuje słownie równanie reakcji chemicznej ilustrujące utlenianie glukozy</w:t>
            </w:r>
          </w:p>
          <w:p w:rsidR="00784A9D" w:rsidRPr="00784A9D" w:rsidRDefault="00784A9D" w:rsidP="00811128">
            <w:pPr>
              <w:pStyle w:val="TableParagraph"/>
              <w:spacing w:line="176" w:lineRule="exact"/>
              <w:ind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rozróżnia procesy wentylacji płuc i oddychania komórkowego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dyfuzję O</w:t>
            </w:r>
            <w:r w:rsidRPr="00784A9D">
              <w:rPr>
                <w:position w:val="-3"/>
                <w:sz w:val="12"/>
                <w:lang w:val="pl-PL"/>
              </w:rPr>
              <w:t xml:space="preserve">2 </w:t>
            </w:r>
            <w:r w:rsidRPr="00784A9D">
              <w:rPr>
                <w:sz w:val="17"/>
                <w:lang w:val="pl-PL"/>
              </w:rPr>
              <w:t>i 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  <w:r w:rsidRPr="00784A9D">
              <w:rPr>
                <w:sz w:val="12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zachodzącą w pęcherzykach płucnych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zależność między liczbą oddechów a wysiłkiem fizycznym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przygotowanym sprzęcie samodzielnie przeprowadza doświadczenie wykrywające obecność</w:t>
            </w:r>
            <w:r w:rsidRPr="00784A9D">
              <w:rPr>
                <w:spacing w:val="-1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  <w:r w:rsidRPr="00784A9D">
              <w:rPr>
                <w:sz w:val="17"/>
                <w:lang w:val="pl-PL"/>
              </w:rPr>
              <w:t xml:space="preserve"> w wydychanym powietrzu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784A9D" w:rsidRPr="00892A40" w:rsidRDefault="00784A9D" w:rsidP="00811128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interpretuje wyniki doświadczenia wykrywającego</w:t>
            </w:r>
            <w:r w:rsidRPr="00784A9D">
              <w:rPr>
                <w:spacing w:val="-2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  <w:r w:rsidRPr="00784A9D">
              <w:rPr>
                <w:sz w:val="17"/>
                <w:lang w:val="pl-PL"/>
              </w:rPr>
              <w:t xml:space="preserve"> w wydychanym powietrzu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graficznie zawartość gazów w powietrzu wdychanym i wydychanym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proces wymiany gazowej w płucach i tkankach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obserwację dotyczącą wpływu wysiłku fizycznego na częstość oddechów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samodzielnie przygotowuje zestaw laboratoryjny i przeprowadza doświadczenie wykazujące obecność CO</w:t>
            </w:r>
            <w:r w:rsidRPr="00784A9D">
              <w:rPr>
                <w:position w:val="-3"/>
                <w:sz w:val="12"/>
                <w:lang w:val="pl-PL"/>
              </w:rPr>
              <w:t xml:space="preserve">2 </w:t>
            </w:r>
            <w:r w:rsidRPr="00784A9D">
              <w:rPr>
                <w:sz w:val="17"/>
                <w:lang w:val="pl-PL"/>
              </w:rPr>
              <w:t>w 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wykonuje obserwację wpływu wysiłku fizycznego na częstość oddechów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ind w:right="386"/>
              <w:contextualSpacing/>
              <w:rPr>
                <w:sz w:val="12"/>
                <w:lang w:val="pl-PL"/>
              </w:rPr>
            </w:pPr>
            <w:r w:rsidRPr="00784A9D">
              <w:rPr>
                <w:sz w:val="17"/>
                <w:lang w:val="pl-PL"/>
              </w:rPr>
              <w:t>wyszukuje odpowiednie informacje, planuje i samodzielnie przeprowadza doświadczenie wykazujące obecność CO</w:t>
            </w:r>
            <w:r w:rsidRPr="00784A9D">
              <w:rPr>
                <w:position w:val="-3"/>
                <w:sz w:val="12"/>
                <w:lang w:val="pl-PL"/>
              </w:rPr>
              <w:t xml:space="preserve">2 </w:t>
            </w:r>
            <w:r w:rsidRPr="00784A9D">
              <w:rPr>
                <w:sz w:val="17"/>
                <w:lang w:val="pl-PL"/>
              </w:rPr>
              <w:t xml:space="preserve">w wydychanym powietrzu 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zależność między ilością mitochondriów a zapotrzebowaniem narządów na energię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zapisuje za pomocą symboli chemicznych równanie reakcji ilustrujące utlenianie glukozy</w:t>
            </w:r>
          </w:p>
        </w:tc>
      </w:tr>
    </w:tbl>
    <w:p w:rsidR="00784A9D" w:rsidRPr="000F05C8" w:rsidRDefault="00784A9D" w:rsidP="00784A9D">
      <w:pPr>
        <w:spacing w:line="176" w:lineRule="exact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kichanie i kaszel jako reakcje obronne organizmu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źródła infekcji górnych i dolnych dróg oddechowych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sposoby zapobiegania chorobom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objawy wybranych chorób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związek między wdychaniem powietrza przez nos a profilaktyką chorób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opisuje zasady profilaktyki </w:t>
            </w:r>
            <w:r w:rsidRPr="00784A9D">
              <w:rPr>
                <w:spacing w:val="-3"/>
                <w:sz w:val="17"/>
                <w:lang w:val="pl-PL"/>
              </w:rPr>
              <w:t xml:space="preserve">anginy, </w:t>
            </w:r>
            <w:r w:rsidRPr="00784A9D">
              <w:rPr>
                <w:sz w:val="17"/>
                <w:lang w:val="pl-PL"/>
              </w:rPr>
              <w:t>gruźlicy i raka</w:t>
            </w:r>
            <w:r w:rsidRPr="00784A9D">
              <w:rPr>
                <w:spacing w:val="8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płuc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wpływ palenia tytoniu na funkcjonowanie układu oddechowego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przeprowadza wywiad w przychodni zdrowia na temat profilaktyki chorób płuc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przeprowadza według podanego schematu i pod opieką nauczyciela badanie zawartości substancji smolistych w jednym papierosie</w:t>
            </w:r>
          </w:p>
          <w:p w:rsidR="00784A9D" w:rsidRPr="00784A9D" w:rsidRDefault="00784A9D" w:rsidP="00811128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  <w:lang w:val="pl-PL"/>
              </w:rPr>
            </w:pPr>
          </w:p>
          <w:p w:rsidR="00784A9D" w:rsidRPr="00784A9D" w:rsidRDefault="00784A9D" w:rsidP="00811128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  <w:lang w:val="pl-PL"/>
              </w:rPr>
            </w:pPr>
          </w:p>
        </w:tc>
      </w:tr>
      <w:tr w:rsidR="00784A9D" w:rsidRPr="000F05C8" w:rsidTr="00811128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24. Budowa i działanie układu wydalniczego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przykłady substancji, które są wydalane przez organizm człowieka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784A9D" w:rsidRPr="000F05C8" w:rsidRDefault="00784A9D" w:rsidP="00811128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drogi wydalania zbędnych produktów przemiany materii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  <w:r w:rsidRPr="00784A9D">
              <w:rPr>
                <w:sz w:val="17"/>
                <w:lang w:val="pl-PL"/>
              </w:rPr>
              <w:t xml:space="preserve"> i 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na podstawie ilustracji proces powstawania moczu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modelu lub ilustracji miejsce powstawania moczu pierwotnego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  <w:lang w:val="pl-PL"/>
              </w:rPr>
            </w:pPr>
            <w:r w:rsidRPr="00784A9D">
              <w:rPr>
                <w:sz w:val="17"/>
                <w:lang w:val="pl-PL"/>
              </w:rPr>
              <w:t>opisuje sposoby wydalania mocznika i CO</w:t>
            </w:r>
            <w:r w:rsidRPr="00784A9D">
              <w:rPr>
                <w:position w:val="-3"/>
                <w:sz w:val="1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modelu lub materiale świeżym warstwy budujące nerkę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wykonuje z dowolnego materiału model układu moczowego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tworzy schemat przemian substancji odżywczych od zjedzenia do wydalenia lub defekacji</w:t>
            </w:r>
          </w:p>
        </w:tc>
      </w:tr>
      <w:tr w:rsidR="00784A9D" w:rsidRPr="000F05C8" w:rsidTr="00811128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 zakażenia dróg moczowych i kamicę nerkową jako choroby układu wydalniczego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badania</w:t>
            </w:r>
            <w:r w:rsidRPr="00784A9D">
              <w:rPr>
                <w:spacing w:val="-4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stosowane w profilaktyce tych chorób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znaczenie wykonywania badań kontrolnych moczu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picia dużych ilości wody podczas leczenia chorób nerek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własne wyniki laboratoryjnego badania moczu i na tej podstawie określa stan zdrowia własnego układu wydalniczego</w:t>
            </w:r>
          </w:p>
          <w:p w:rsidR="00784A9D" w:rsidRDefault="00784A9D" w:rsidP="00784A9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ocenia rolę dializy w ratowaniu życia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  <w:lang w:val="pl-PL"/>
              </w:rPr>
            </w:pPr>
          </w:p>
        </w:tc>
      </w:tr>
    </w:tbl>
    <w:p w:rsidR="00784A9D" w:rsidRPr="000F05C8" w:rsidRDefault="00784A9D" w:rsidP="00784A9D">
      <w:pPr>
        <w:spacing w:line="204" w:lineRule="exact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26. Budowa i funkcjonowanie układu hormonalnego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784A9D" w:rsidRPr="000F05C8" w:rsidRDefault="00784A9D" w:rsidP="00811128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przyporządkowuje hormony do odpowiednich</w:t>
            </w:r>
            <w:r w:rsidRPr="00784A9D">
              <w:rPr>
                <w:spacing w:val="-21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gruczołów, które je wytwarzają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działanie insuliny i glukagonu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biologiczną rolę hormonu wzrostu, tyroksyny, insuliny, adrenaliny,</w:t>
            </w:r>
            <w:r w:rsidRPr="00784A9D">
              <w:rPr>
                <w:spacing w:val="-14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testosteronu, estrogenów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 antagonistyczne działanie insuliny i glukagonu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nie należy bez konsultacji z lekarzem przyjmować preparatów i leków hormonalnych</w:t>
            </w:r>
          </w:p>
        </w:tc>
      </w:tr>
      <w:tr w:rsidR="00784A9D" w:rsidRPr="000F05C8" w:rsidTr="0081112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skutki nadmiaru i niedoboru hormonu wzrostu</w:t>
            </w:r>
          </w:p>
        </w:tc>
        <w:tc>
          <w:tcPr>
            <w:tcW w:w="2268" w:type="dxa"/>
            <w:shd w:val="clear" w:color="auto" w:fill="auto"/>
          </w:tcPr>
          <w:p w:rsidR="00784A9D" w:rsidRDefault="00784A9D" w:rsidP="00784A9D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interpretuje skutki nadmiaru i niedoboru hormonów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związek niedoboru insuliny z cukrzycą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analizuje i wykazuje różnice między cukrzycą typu I a cukrzycą typu II </w:t>
            </w:r>
          </w:p>
        </w:tc>
      </w:tr>
      <w:tr w:rsidR="00784A9D" w:rsidRPr="000F05C8" w:rsidTr="0081112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elementy budowy ośrodkowego i obwodowego układu nerwowego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neuronu przebieg impulsu nerwowego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komórki nerwowej z jej funkcją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funkcje somatycznego i autonomicznego układu nerwowego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ocenia rolę regulacji nerwowo-hormonalnej w prawidłowym funkcjonowaniu całego organizmu</w:t>
            </w:r>
          </w:p>
          <w:p w:rsidR="00784A9D" w:rsidRPr="00784A9D" w:rsidRDefault="00784A9D" w:rsidP="0081112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  <w:lang w:val="pl-PL"/>
              </w:rPr>
            </w:pP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najważniejsze elementy mózgowia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nadrzędną funkcję mózgowia w stosunku do pozostałych części układu nerwowego</w:t>
            </w:r>
          </w:p>
        </w:tc>
      </w:tr>
      <w:tr w:rsidR="00784A9D" w:rsidRPr="000F05C8" w:rsidTr="0081112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po trzy przykłady odruchów warunkowych i bezwarunkowych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na</w:t>
            </w:r>
            <w:r w:rsidRPr="00784A9D">
              <w:rPr>
                <w:lang w:val="pl-PL"/>
              </w:rPr>
              <w:t> </w:t>
            </w:r>
            <w:r w:rsidRPr="00784A9D">
              <w:rPr>
                <w:sz w:val="17"/>
                <w:lang w:val="pl-PL"/>
              </w:rPr>
              <w:t>podstawie ilustracji drogę impulsu nerwowego w łuku odruchowym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odróżnia odruchy warunkowe i bezwarunkowe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różnicę między odruchem warunkowym a bezwarunkowym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graficznie drogę impulsu nerwowego w łuku odruchowym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rolę odruchów warunkowych w procesie uczenia się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dowodzi znaczenia odruchów warunkowych i bezwarunkowych w życiu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demonstruje na koledze odruch kolanowy i wyjaśnia działanie tego odruchu</w:t>
            </w:r>
          </w:p>
        </w:tc>
      </w:tr>
      <w:tr w:rsidR="00784A9D" w:rsidRPr="000F05C8" w:rsidTr="0081112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sposoby radzenia sobie ze stresem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dodatni i ujemny wpływ stresu na funkcjonowanie 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wpływ palenia tytoniu na zdrowie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skutki działania alkoholu na funkcjonowanie organizmu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784A9D" w:rsidRPr="000F05C8" w:rsidRDefault="00784A9D" w:rsidP="00811128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wpływ snu na procesy uczenia się i zapamiętywania oraz na odporność 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zależność między przyjmowaniem używek a powstawaniem nałogu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związek między prawidłowym wysypianiem się a funkcjonowaniem 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wykonuje w dowolnej formie prezentację na temat profilaktyki uzależnień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znaczenie zmysłów w życiu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rozróżnia w narządzie wzroku aparat ochronny oka i gałkę oczną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elementy wchodzące w skład aparatu ochronnego oka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funkcje elementów aparatu ochronnego oka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elementów oka z pełnionymi przez nie funkcjami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przeprowadza doświadczenie wykazujące reakcję tęczówki na światło o różnym natężeniu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przeprowadza doświadczenie wykazujące obecność tarczy nerwu wzrokowego w oku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 w:rsidR="00784A9D" w:rsidRPr="000F05C8" w:rsidTr="00811128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ilustracji elementy budowy ucha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położenie narządu równowagi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mechanizm odbierania i rozpoznawania dźwięków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lokalizację receptorów słuchu i równowagi w uchu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przebieg bodźca słuchowego, uwzględniając przetwarzanie fal dźwiękowych na impulsy nerwowe</w:t>
            </w:r>
          </w:p>
        </w:tc>
      </w:tr>
      <w:tr w:rsidR="00784A9D" w:rsidRPr="000F05C8" w:rsidTr="00811128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choroby oczu i uszu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rozpoznaje na ilustracji krótkowzroczność i dalekowzroczność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hałas jako czynnik powodujący głuchotę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wyjaśnia, na czym polegają daltonizm i astygmatyzm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rozróżnia rodzaje soczewek korygujących wady wzroku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informacje na temat źródeł hałasu w swoim miejscu zamieszkania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źródła hałasu w najbliższym otoczeniu i wskazuje na sposoby jego ograniczenia</w:t>
            </w:r>
          </w:p>
        </w:tc>
      </w:tr>
      <w:tr w:rsidR="00784A9D" w:rsidRPr="000F05C8" w:rsidTr="00811128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35. Zmysły powonienia, smaku i dotyku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rolę zmysłów powonienia, smaku i dotyku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rozmieszczenie receptorów powonienia, smaku i dotyku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bodźce odbierane przez receptory skóry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położenie kubków smakowych na języku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skóra jest narządem dotyku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znaczenie wolnych zakończeń nerwowych w skórze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planuje i wykonuje doświadczenie dotyczące rozmieszczenia kubków smakowych na języku</w:t>
            </w:r>
          </w:p>
        </w:tc>
      </w:tr>
      <w:tr w:rsidR="00784A9D" w:rsidRPr="000F05C8" w:rsidTr="00811128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  <w:lang w:val="pl-PL"/>
              </w:rPr>
            </w:pPr>
            <w:r w:rsidRPr="00784A9D">
              <w:rPr>
                <w:rFonts w:ascii="Humanst521EU" w:hAnsi="Humanst521EU"/>
                <w:b/>
                <w:sz w:val="17"/>
                <w:lang w:val="pl-PL"/>
              </w:rPr>
              <w:lastRenderedPageBreak/>
              <w:t xml:space="preserve">IX. </w:t>
            </w:r>
            <w:r w:rsidRPr="00784A9D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784A9D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męskie narządy rozrodcze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budowę plemnika i wykonuje jego schematyczny rysunek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główka plemnika jest właściwą gametą męską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wspólną funkcjonalność prącia jako narządu wydalania i narządu rozrodczego</w:t>
            </w:r>
          </w:p>
        </w:tc>
      </w:tr>
      <w:tr w:rsidR="00784A9D" w:rsidRPr="000F05C8" w:rsidTr="0081112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na ilustracji żeńskie narządy rozrodcze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pierwszo-, drugo- i trzeciorzędowe żeńskie cechy płciowe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związek budowy komórki jajowej z pełnioną przez nią funkcją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podobieństwa i różnice w budowie</w:t>
            </w:r>
          </w:p>
          <w:p w:rsidR="00784A9D" w:rsidRPr="00784A9D" w:rsidRDefault="00784A9D" w:rsidP="00811128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męskich i żeńskich układów narządów: rozrodczego i wydalniczego</w:t>
            </w:r>
          </w:p>
        </w:tc>
      </w:tr>
      <w:tr w:rsidR="00784A9D" w:rsidRPr="000F05C8" w:rsidTr="0081112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w cyklu miesiączkowym dni płodne i niepłodne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zmiany hormonalne i zmiany w macicy zachodzące w trakcie cyklu miesiączkowego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wyznacza dni płodne i niepłodne u kobiet w różnych dniach cyklu miesiączkowego i z różną długością cyklu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Default="00784A9D" w:rsidP="00811128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784A9D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39. Rozwój człowieka – od poczęcia do narodzin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zmiany zachodzące w 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porządkuje etapy rozwoju zarodka od zapłodnienia do zagnieżdżenia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zasady higieny zalecane dla kobiet ciężarnych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wpływ różnych czynników na prawidłowy rozwój zarodka i płodu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przyczyny zmian zachodzących w organizmie kobiety podczas ciąży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przestrzegania zasad higieny przez kobiety w ciąży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mechanizm powstawania ciąży pojedynczej i mnogiej</w:t>
            </w:r>
          </w:p>
        </w:tc>
        <w:tc>
          <w:tcPr>
            <w:tcW w:w="2268" w:type="dxa"/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 w różnych źródłach informacje na temat rozwoju prenatalnego</w:t>
            </w:r>
          </w:p>
        </w:tc>
      </w:tr>
      <w:tr w:rsidR="00784A9D" w:rsidRPr="000F05C8" w:rsidTr="0081112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określa zmiany rozwojowe u swoich rówieśników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różnice między przekwitaniem a starością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tworzy w dowolnej formie prezentację na temat dojrzewania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tworzy portfolio ze zdjęciami swojej rodziny, której członkowie znajdują się w różnych okresach rozwoju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784A9D" w:rsidRDefault="00784A9D" w:rsidP="00811128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  <w:r w:rsidRPr="00784A9D">
              <w:rPr>
                <w:rFonts w:ascii="Humanst521EU" w:hAnsi="Humanst521EU"/>
                <w:b/>
                <w:sz w:val="17"/>
                <w:lang w:val="pl-PL"/>
              </w:rPr>
              <w:t xml:space="preserve">IX. </w:t>
            </w:r>
            <w:r w:rsidRPr="00784A9D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784A9D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84A9D" w:rsidRPr="00784A9D" w:rsidRDefault="00784A9D" w:rsidP="00811128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784A9D" w:rsidRPr="000F05C8" w:rsidRDefault="00784A9D" w:rsidP="00811128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kontakty płciowe jako potencjalne źródło zakażenia układu rozrodczego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różnicę między nosicielstwem HIV a chorobą AIDS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wymienia drogi zakażenia wirusami: </w:t>
            </w:r>
            <w:r w:rsidRPr="00784A9D">
              <w:rPr>
                <w:spacing w:val="-8"/>
                <w:sz w:val="17"/>
                <w:lang w:val="pl-PL"/>
              </w:rPr>
              <w:t xml:space="preserve">HIV, </w:t>
            </w:r>
            <w:r w:rsidRPr="00784A9D">
              <w:rPr>
                <w:spacing w:val="-9"/>
                <w:sz w:val="17"/>
                <w:lang w:val="pl-PL"/>
              </w:rPr>
              <w:t xml:space="preserve">HBV, </w:t>
            </w:r>
            <w:r w:rsidRPr="00784A9D">
              <w:rPr>
                <w:sz w:val="17"/>
                <w:lang w:val="pl-PL"/>
              </w:rPr>
              <w:t>HCV i HPV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konieczność regularnych wizyt u ginekologa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omawia zasady profilaktyki chorób wywoływanych przez wirusy: </w:t>
            </w:r>
            <w:r w:rsidRPr="00784A9D">
              <w:rPr>
                <w:spacing w:val="-8"/>
                <w:sz w:val="17"/>
                <w:lang w:val="pl-PL"/>
              </w:rPr>
              <w:t xml:space="preserve">HIV, </w:t>
            </w:r>
            <w:r w:rsidRPr="00784A9D">
              <w:rPr>
                <w:spacing w:val="-9"/>
                <w:sz w:val="17"/>
                <w:lang w:val="pl-PL"/>
              </w:rPr>
              <w:t xml:space="preserve">HBV, </w:t>
            </w:r>
            <w:r w:rsidRPr="00784A9D">
              <w:rPr>
                <w:sz w:val="17"/>
                <w:lang w:val="pl-PL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wymienia ryzykowne zachowania seksualne, które mogą prowadzić do zakażenia HIV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przewiduje indywidualne i społeczne skutki zakażenia wirusami: HIV, HBV, HCV i HPV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784A9D" w:rsidRPr="000F05C8" w:rsidTr="0081112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784A9D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własnymi słowami wyjaśnia, na czym polega homeostaza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wykazuje na podstawie wcześniej zdobytej wiedzy zależność działania układów pokarmowego i 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wcześniej zdobytej wiedzy wykazuje zależność działania układów: nerwowego, pokarmowego i krwionośnego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wcześniej zdobytej wiedzy wykazuje zależność działania poszczególnych układów narządów w organizmie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analizuje i wykazuje rolę regulacji</w:t>
            </w:r>
            <w:r w:rsidRPr="00784A9D">
              <w:rPr>
                <w:spacing w:val="1"/>
                <w:sz w:val="17"/>
                <w:lang w:val="pl-PL"/>
              </w:rPr>
              <w:t xml:space="preserve"> </w:t>
            </w:r>
            <w:r w:rsidRPr="00784A9D">
              <w:rPr>
                <w:sz w:val="17"/>
                <w:lang w:val="pl-PL"/>
              </w:rPr>
              <w:t>nerwowo-</w:t>
            </w:r>
          </w:p>
          <w:p w:rsidR="00784A9D" w:rsidRPr="000F05C8" w:rsidRDefault="00784A9D" w:rsidP="00811128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784A9D" w:rsidRPr="000F05C8" w:rsidRDefault="00784A9D" w:rsidP="00784A9D">
      <w:pPr>
        <w:spacing w:line="235" w:lineRule="auto"/>
        <w:contextualSpacing/>
        <w:rPr>
          <w:sz w:val="17"/>
        </w:rPr>
        <w:sectPr w:rsidR="00784A9D" w:rsidRPr="000F05C8" w:rsidSect="0019243C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784A9D" w:rsidRPr="000F05C8" w:rsidRDefault="00784A9D" w:rsidP="00784A9D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84A9D" w:rsidRPr="000F05C8" w:rsidRDefault="00784A9D" w:rsidP="00784A9D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84A9D" w:rsidRPr="000F05C8" w:rsidRDefault="00784A9D" w:rsidP="00784A9D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84A9D" w:rsidRPr="000F05C8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84A9D" w:rsidRPr="000F05C8" w:rsidRDefault="00784A9D" w:rsidP="0081112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84A9D" w:rsidRPr="000F05C8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84A9D" w:rsidRPr="000F05C8" w:rsidTr="00811128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84A9D" w:rsidRPr="000F05C8" w:rsidRDefault="00784A9D" w:rsidP="0081112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84A9D" w:rsidRPr="000F05C8" w:rsidRDefault="00784A9D" w:rsidP="00811128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84A9D" w:rsidRPr="000F05C8" w:rsidRDefault="00784A9D" w:rsidP="00811128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omawia wpływ trybu życia na stan zdrowia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przykłady trzech chorób zakaźnych wraz z czynnikami, które</w:t>
            </w:r>
          </w:p>
          <w:p w:rsidR="00784A9D" w:rsidRPr="000F05C8" w:rsidRDefault="00784A9D" w:rsidP="00811128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opisuje zdrowie fizyczne, psychiczne i społeczne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przykłady wpływu środowiska na życie i zdrowie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znaczenie aktywności fizycznej dla prawidłowego funkcjonowania organizmu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przedstawia podstawowe zasady profilaktyki chorób nowotworowych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klasyfikuje podaną chorobę do grupy chorób cywilizacyjnych lub zakaźnych</w:t>
            </w:r>
          </w:p>
          <w:p w:rsidR="00784A9D" w:rsidRPr="000F05C8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alergie jako skutek zanieczyszczenia środowiska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charakteryzuje czynniki wpływające na zdrowie człowieka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przedstawia znaczenie pojęć </w:t>
            </w:r>
            <w:r w:rsidRPr="00784A9D">
              <w:rPr>
                <w:rFonts w:ascii="Humanst521EU"/>
                <w:i/>
                <w:sz w:val="17"/>
                <w:lang w:val="pl-PL"/>
              </w:rPr>
              <w:t xml:space="preserve">zdrowie </w:t>
            </w:r>
            <w:r w:rsidRPr="00784A9D">
              <w:rPr>
                <w:sz w:val="17"/>
                <w:lang w:val="pl-PL"/>
              </w:rPr>
              <w:t>i </w:t>
            </w:r>
            <w:r w:rsidRPr="00784A9D">
              <w:rPr>
                <w:rFonts w:ascii="Humanst521EU"/>
                <w:i/>
                <w:sz w:val="17"/>
                <w:lang w:val="pl-PL"/>
              </w:rPr>
              <w:t>choroba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rozróżnia zdrowie fizyczne, psychiczne i społeczne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 xml:space="preserve">wymienia najważniejsze choroby człowieka wywoływane przez </w:t>
            </w:r>
            <w:r w:rsidRPr="00784A9D">
              <w:rPr>
                <w:spacing w:val="-3"/>
                <w:sz w:val="17"/>
                <w:lang w:val="pl-PL"/>
              </w:rPr>
              <w:t xml:space="preserve">wirusy, </w:t>
            </w:r>
            <w:r w:rsidRPr="00784A9D">
              <w:rPr>
                <w:sz w:val="17"/>
                <w:lang w:val="pl-PL"/>
              </w:rPr>
              <w:t>bakterie, protisty i pasożyty zwierzęce oraz przedstawia zasady profilaktyki tych chorób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kryterium podziału chorób na choroby zakaźne i cywilizacyjne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podaje przykłady szczepień obowiązkowych i nieobowiązkowych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0F05C8" w:rsidRDefault="00784A9D" w:rsidP="00784A9D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antybiotyki i inne leki należy stosować zgodnie z zaleceniami lekarza (dawka, godziny przyjmowania leku i długość kuracji)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dowodzi, że stres jest przyczyną chorób cywilizacyjnych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uzasadnia, że nerwice są chorobami cywilizacyjnymi</w:t>
            </w:r>
          </w:p>
          <w:p w:rsidR="00784A9D" w:rsidRPr="00784A9D" w:rsidRDefault="00784A9D" w:rsidP="00784A9D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84A9D" w:rsidRPr="00784A9D" w:rsidRDefault="00784A9D" w:rsidP="00784A9D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  <w:lang w:val="pl-PL"/>
              </w:rPr>
            </w:pPr>
            <w:r w:rsidRPr="00784A9D">
              <w:rPr>
                <w:sz w:val="17"/>
                <w:lang w:val="pl-PL"/>
              </w:rPr>
              <w:t>formułuje argumenty przemawiające za tym, że nie należy bez wyraźnej potrzeby przyjmować ogólnodostępnych leków oraz suplementów</w:t>
            </w:r>
          </w:p>
        </w:tc>
      </w:tr>
    </w:tbl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Default="00784A9D" w:rsidP="008E3306"/>
    <w:p w:rsidR="00784A9D" w:rsidRPr="008E3306" w:rsidRDefault="00784A9D" w:rsidP="008E3306"/>
    <w:sectPr w:rsidR="00784A9D" w:rsidRPr="008E3306" w:rsidSect="001924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2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4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5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2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4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5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7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01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5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7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8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9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3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9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2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6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1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0"/>
  </w:num>
  <w:num w:numId="16">
    <w:abstractNumId w:val="27"/>
  </w:num>
  <w:num w:numId="17">
    <w:abstractNumId w:val="25"/>
  </w:num>
  <w:num w:numId="18">
    <w:abstractNumId w:val="159"/>
  </w:num>
  <w:num w:numId="19">
    <w:abstractNumId w:val="68"/>
  </w:num>
  <w:num w:numId="20">
    <w:abstractNumId w:val="105"/>
  </w:num>
  <w:num w:numId="21">
    <w:abstractNumId w:val="40"/>
  </w:num>
  <w:num w:numId="22">
    <w:abstractNumId w:val="62"/>
  </w:num>
  <w:num w:numId="23">
    <w:abstractNumId w:val="15"/>
  </w:num>
  <w:num w:numId="24">
    <w:abstractNumId w:val="149"/>
  </w:num>
  <w:num w:numId="25">
    <w:abstractNumId w:val="125"/>
  </w:num>
  <w:num w:numId="26">
    <w:abstractNumId w:val="47"/>
  </w:num>
  <w:num w:numId="27">
    <w:abstractNumId w:val="184"/>
  </w:num>
  <w:num w:numId="28">
    <w:abstractNumId w:val="185"/>
  </w:num>
  <w:num w:numId="29">
    <w:abstractNumId w:val="51"/>
  </w:num>
  <w:num w:numId="30">
    <w:abstractNumId w:val="115"/>
  </w:num>
  <w:num w:numId="31">
    <w:abstractNumId w:val="83"/>
  </w:num>
  <w:num w:numId="32">
    <w:abstractNumId w:val="121"/>
  </w:num>
  <w:num w:numId="33">
    <w:abstractNumId w:val="182"/>
  </w:num>
  <w:num w:numId="34">
    <w:abstractNumId w:val="157"/>
  </w:num>
  <w:num w:numId="35">
    <w:abstractNumId w:val="34"/>
  </w:num>
  <w:num w:numId="36">
    <w:abstractNumId w:val="102"/>
  </w:num>
  <w:num w:numId="37">
    <w:abstractNumId w:val="23"/>
  </w:num>
  <w:num w:numId="38">
    <w:abstractNumId w:val="101"/>
  </w:num>
  <w:num w:numId="39">
    <w:abstractNumId w:val="166"/>
  </w:num>
  <w:num w:numId="40">
    <w:abstractNumId w:val="43"/>
  </w:num>
  <w:num w:numId="41">
    <w:abstractNumId w:val="65"/>
  </w:num>
  <w:num w:numId="42">
    <w:abstractNumId w:val="163"/>
  </w:num>
  <w:num w:numId="43">
    <w:abstractNumId w:val="151"/>
  </w:num>
  <w:num w:numId="44">
    <w:abstractNumId w:val="94"/>
  </w:num>
  <w:num w:numId="45">
    <w:abstractNumId w:val="173"/>
  </w:num>
  <w:num w:numId="46">
    <w:abstractNumId w:val="97"/>
  </w:num>
  <w:num w:numId="47">
    <w:abstractNumId w:val="74"/>
  </w:num>
  <w:num w:numId="48">
    <w:abstractNumId w:val="141"/>
  </w:num>
  <w:num w:numId="49">
    <w:abstractNumId w:val="130"/>
  </w:num>
  <w:num w:numId="50">
    <w:abstractNumId w:val="124"/>
  </w:num>
  <w:num w:numId="51">
    <w:abstractNumId w:val="112"/>
  </w:num>
  <w:num w:numId="52">
    <w:abstractNumId w:val="154"/>
  </w:num>
  <w:num w:numId="53">
    <w:abstractNumId w:val="88"/>
  </w:num>
  <w:num w:numId="54">
    <w:abstractNumId w:val="17"/>
  </w:num>
  <w:num w:numId="55">
    <w:abstractNumId w:val="143"/>
  </w:num>
  <w:num w:numId="56">
    <w:abstractNumId w:val="39"/>
  </w:num>
  <w:num w:numId="57">
    <w:abstractNumId w:val="145"/>
  </w:num>
  <w:num w:numId="58">
    <w:abstractNumId w:val="98"/>
  </w:num>
  <w:num w:numId="59">
    <w:abstractNumId w:val="67"/>
  </w:num>
  <w:num w:numId="60">
    <w:abstractNumId w:val="56"/>
  </w:num>
  <w:num w:numId="61">
    <w:abstractNumId w:val="57"/>
  </w:num>
  <w:num w:numId="62">
    <w:abstractNumId w:val="128"/>
  </w:num>
  <w:num w:numId="63">
    <w:abstractNumId w:val="78"/>
  </w:num>
  <w:num w:numId="64">
    <w:abstractNumId w:val="37"/>
  </w:num>
  <w:num w:numId="65">
    <w:abstractNumId w:val="171"/>
  </w:num>
  <w:num w:numId="66">
    <w:abstractNumId w:val="38"/>
  </w:num>
  <w:num w:numId="67">
    <w:abstractNumId w:val="84"/>
  </w:num>
  <w:num w:numId="68">
    <w:abstractNumId w:val="162"/>
  </w:num>
  <w:num w:numId="69">
    <w:abstractNumId w:val="76"/>
  </w:num>
  <w:num w:numId="70">
    <w:abstractNumId w:val="132"/>
  </w:num>
  <w:num w:numId="71">
    <w:abstractNumId w:val="44"/>
  </w:num>
  <w:num w:numId="72">
    <w:abstractNumId w:val="178"/>
  </w:num>
  <w:num w:numId="73">
    <w:abstractNumId w:val="20"/>
  </w:num>
  <w:num w:numId="74">
    <w:abstractNumId w:val="111"/>
  </w:num>
  <w:num w:numId="75">
    <w:abstractNumId w:val="103"/>
  </w:num>
  <w:num w:numId="76">
    <w:abstractNumId w:val="99"/>
  </w:num>
  <w:num w:numId="77">
    <w:abstractNumId w:val="147"/>
  </w:num>
  <w:num w:numId="78">
    <w:abstractNumId w:val="100"/>
  </w:num>
  <w:num w:numId="79">
    <w:abstractNumId w:val="93"/>
  </w:num>
  <w:num w:numId="80">
    <w:abstractNumId w:val="22"/>
  </w:num>
  <w:num w:numId="81">
    <w:abstractNumId w:val="72"/>
  </w:num>
  <w:num w:numId="82">
    <w:abstractNumId w:val="114"/>
  </w:num>
  <w:num w:numId="83">
    <w:abstractNumId w:val="73"/>
  </w:num>
  <w:num w:numId="84">
    <w:abstractNumId w:val="139"/>
  </w:num>
  <w:num w:numId="85">
    <w:abstractNumId w:val="165"/>
  </w:num>
  <w:num w:numId="86">
    <w:abstractNumId w:val="18"/>
  </w:num>
  <w:num w:numId="87">
    <w:abstractNumId w:val="140"/>
  </w:num>
  <w:num w:numId="88">
    <w:abstractNumId w:val="104"/>
  </w:num>
  <w:num w:numId="89">
    <w:abstractNumId w:val="138"/>
  </w:num>
  <w:num w:numId="90">
    <w:abstractNumId w:val="49"/>
  </w:num>
  <w:num w:numId="91">
    <w:abstractNumId w:val="109"/>
  </w:num>
  <w:num w:numId="92">
    <w:abstractNumId w:val="36"/>
  </w:num>
  <w:num w:numId="93">
    <w:abstractNumId w:val="63"/>
  </w:num>
  <w:num w:numId="94">
    <w:abstractNumId w:val="129"/>
  </w:num>
  <w:num w:numId="95">
    <w:abstractNumId w:val="35"/>
  </w:num>
  <w:num w:numId="96">
    <w:abstractNumId w:val="85"/>
  </w:num>
  <w:num w:numId="97">
    <w:abstractNumId w:val="131"/>
  </w:num>
  <w:num w:numId="98">
    <w:abstractNumId w:val="174"/>
  </w:num>
  <w:num w:numId="99">
    <w:abstractNumId w:val="117"/>
  </w:num>
  <w:num w:numId="100">
    <w:abstractNumId w:val="146"/>
  </w:num>
  <w:num w:numId="101">
    <w:abstractNumId w:val="167"/>
  </w:num>
  <w:num w:numId="102">
    <w:abstractNumId w:val="168"/>
  </w:num>
  <w:num w:numId="103">
    <w:abstractNumId w:val="123"/>
  </w:num>
  <w:num w:numId="104">
    <w:abstractNumId w:val="170"/>
  </w:num>
  <w:num w:numId="105">
    <w:abstractNumId w:val="42"/>
  </w:num>
  <w:num w:numId="106">
    <w:abstractNumId w:val="150"/>
  </w:num>
  <w:num w:numId="107">
    <w:abstractNumId w:val="61"/>
  </w:num>
  <w:num w:numId="108">
    <w:abstractNumId w:val="160"/>
  </w:num>
  <w:num w:numId="109">
    <w:abstractNumId w:val="48"/>
  </w:num>
  <w:num w:numId="110">
    <w:abstractNumId w:val="26"/>
  </w:num>
  <w:num w:numId="111">
    <w:abstractNumId w:val="28"/>
  </w:num>
  <w:num w:numId="112">
    <w:abstractNumId w:val="90"/>
  </w:num>
  <w:num w:numId="113">
    <w:abstractNumId w:val="77"/>
  </w:num>
  <w:num w:numId="114">
    <w:abstractNumId w:val="75"/>
  </w:num>
  <w:num w:numId="115">
    <w:abstractNumId w:val="91"/>
  </w:num>
  <w:num w:numId="116">
    <w:abstractNumId w:val="45"/>
  </w:num>
  <w:num w:numId="117">
    <w:abstractNumId w:val="176"/>
  </w:num>
  <w:num w:numId="118">
    <w:abstractNumId w:val="126"/>
  </w:num>
  <w:num w:numId="119">
    <w:abstractNumId w:val="58"/>
  </w:num>
  <w:num w:numId="120">
    <w:abstractNumId w:val="113"/>
  </w:num>
  <w:num w:numId="121">
    <w:abstractNumId w:val="46"/>
  </w:num>
  <w:num w:numId="122">
    <w:abstractNumId w:val="161"/>
  </w:num>
  <w:num w:numId="123">
    <w:abstractNumId w:val="118"/>
  </w:num>
  <w:num w:numId="124">
    <w:abstractNumId w:val="66"/>
  </w:num>
  <w:num w:numId="125">
    <w:abstractNumId w:val="33"/>
  </w:num>
  <w:num w:numId="126">
    <w:abstractNumId w:val="16"/>
  </w:num>
  <w:num w:numId="127">
    <w:abstractNumId w:val="119"/>
  </w:num>
  <w:num w:numId="128">
    <w:abstractNumId w:val="156"/>
  </w:num>
  <w:num w:numId="129">
    <w:abstractNumId w:val="70"/>
  </w:num>
  <w:num w:numId="130">
    <w:abstractNumId w:val="106"/>
  </w:num>
  <w:num w:numId="131">
    <w:abstractNumId w:val="116"/>
  </w:num>
  <w:num w:numId="132">
    <w:abstractNumId w:val="59"/>
  </w:num>
  <w:num w:numId="133">
    <w:abstractNumId w:val="54"/>
  </w:num>
  <w:num w:numId="134">
    <w:abstractNumId w:val="32"/>
  </w:num>
  <w:num w:numId="135">
    <w:abstractNumId w:val="19"/>
  </w:num>
  <w:num w:numId="136">
    <w:abstractNumId w:val="24"/>
  </w:num>
  <w:num w:numId="137">
    <w:abstractNumId w:val="127"/>
  </w:num>
  <w:num w:numId="138">
    <w:abstractNumId w:val="92"/>
  </w:num>
  <w:num w:numId="139">
    <w:abstractNumId w:val="31"/>
  </w:num>
  <w:num w:numId="140">
    <w:abstractNumId w:val="107"/>
  </w:num>
  <w:num w:numId="141">
    <w:abstractNumId w:val="95"/>
  </w:num>
  <w:num w:numId="142">
    <w:abstractNumId w:val="80"/>
  </w:num>
  <w:num w:numId="143">
    <w:abstractNumId w:val="86"/>
  </w:num>
  <w:num w:numId="144">
    <w:abstractNumId w:val="81"/>
  </w:num>
  <w:num w:numId="145">
    <w:abstractNumId w:val="89"/>
  </w:num>
  <w:num w:numId="146">
    <w:abstractNumId w:val="64"/>
  </w:num>
  <w:num w:numId="147">
    <w:abstractNumId w:val="152"/>
  </w:num>
  <w:num w:numId="148">
    <w:abstractNumId w:val="14"/>
  </w:num>
  <w:num w:numId="149">
    <w:abstractNumId w:val="41"/>
  </w:num>
  <w:num w:numId="150">
    <w:abstractNumId w:val="69"/>
  </w:num>
  <w:num w:numId="151">
    <w:abstractNumId w:val="155"/>
  </w:num>
  <w:num w:numId="152">
    <w:abstractNumId w:val="122"/>
  </w:num>
  <w:num w:numId="153">
    <w:abstractNumId w:val="71"/>
  </w:num>
  <w:num w:numId="154">
    <w:abstractNumId w:val="87"/>
  </w:num>
  <w:num w:numId="155">
    <w:abstractNumId w:val="144"/>
  </w:num>
  <w:num w:numId="156">
    <w:abstractNumId w:val="82"/>
  </w:num>
  <w:num w:numId="157">
    <w:abstractNumId w:val="53"/>
  </w:num>
  <w:num w:numId="158">
    <w:abstractNumId w:val="177"/>
  </w:num>
  <w:num w:numId="159">
    <w:abstractNumId w:val="164"/>
  </w:num>
  <w:num w:numId="160">
    <w:abstractNumId w:val="135"/>
  </w:num>
  <w:num w:numId="161">
    <w:abstractNumId w:val="183"/>
  </w:num>
  <w:num w:numId="162">
    <w:abstractNumId w:val="133"/>
  </w:num>
  <w:num w:numId="163">
    <w:abstractNumId w:val="148"/>
  </w:num>
  <w:num w:numId="164">
    <w:abstractNumId w:val="169"/>
  </w:num>
  <w:num w:numId="165">
    <w:abstractNumId w:val="79"/>
  </w:num>
  <w:num w:numId="166">
    <w:abstractNumId w:val="108"/>
  </w:num>
  <w:num w:numId="167">
    <w:abstractNumId w:val="180"/>
  </w:num>
  <w:num w:numId="168">
    <w:abstractNumId w:val="21"/>
  </w:num>
  <w:num w:numId="169">
    <w:abstractNumId w:val="187"/>
  </w:num>
  <w:num w:numId="170">
    <w:abstractNumId w:val="120"/>
  </w:num>
  <w:num w:numId="171">
    <w:abstractNumId w:val="137"/>
  </w:num>
  <w:num w:numId="172">
    <w:abstractNumId w:val="186"/>
  </w:num>
  <w:num w:numId="173">
    <w:abstractNumId w:val="153"/>
  </w:num>
  <w:num w:numId="174">
    <w:abstractNumId w:val="136"/>
  </w:num>
  <w:num w:numId="175">
    <w:abstractNumId w:val="29"/>
  </w:num>
  <w:num w:numId="176">
    <w:abstractNumId w:val="158"/>
  </w:num>
  <w:num w:numId="177">
    <w:abstractNumId w:val="30"/>
  </w:num>
  <w:num w:numId="178">
    <w:abstractNumId w:val="179"/>
  </w:num>
  <w:num w:numId="179">
    <w:abstractNumId w:val="96"/>
  </w:num>
  <w:num w:numId="180">
    <w:abstractNumId w:val="142"/>
  </w:num>
  <w:num w:numId="181">
    <w:abstractNumId w:val="175"/>
  </w:num>
  <w:num w:numId="182">
    <w:abstractNumId w:val="181"/>
  </w:num>
  <w:num w:numId="183">
    <w:abstractNumId w:val="52"/>
  </w:num>
  <w:num w:numId="184">
    <w:abstractNumId w:val="50"/>
  </w:num>
  <w:num w:numId="185">
    <w:abstractNumId w:val="55"/>
  </w:num>
  <w:num w:numId="186">
    <w:abstractNumId w:val="134"/>
  </w:num>
  <w:num w:numId="187">
    <w:abstractNumId w:val="172"/>
  </w:num>
  <w:num w:numId="188">
    <w:abstractNumId w:val="110"/>
  </w:num>
  <w:num w:numId="1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E"/>
    <w:rsid w:val="001045B9"/>
    <w:rsid w:val="0019243C"/>
    <w:rsid w:val="003D3088"/>
    <w:rsid w:val="0057063B"/>
    <w:rsid w:val="00720096"/>
    <w:rsid w:val="0075544C"/>
    <w:rsid w:val="00784A9D"/>
    <w:rsid w:val="008E3306"/>
    <w:rsid w:val="00A3156C"/>
    <w:rsid w:val="00A82C8A"/>
    <w:rsid w:val="00B7071D"/>
    <w:rsid w:val="00C60A54"/>
    <w:rsid w:val="00E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0630"/>
  <w15:chartTrackingRefBased/>
  <w15:docId w15:val="{C8D101CA-3009-4A90-9180-0AB4235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06"/>
  </w:style>
  <w:style w:type="paragraph" w:styleId="Nagwek1">
    <w:name w:val="heading 1"/>
    <w:basedOn w:val="Normalny"/>
    <w:next w:val="Tekstpodstawowy"/>
    <w:link w:val="Nagwek1Znak"/>
    <w:qFormat/>
    <w:rsid w:val="00720096"/>
    <w:pPr>
      <w:numPr>
        <w:numId w:val="188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20096"/>
    <w:pPr>
      <w:numPr>
        <w:ilvl w:val="1"/>
        <w:numId w:val="188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09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200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20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0096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009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2009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72009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customStyle="1" w:styleId="Pa20">
    <w:name w:val="Pa20"/>
    <w:basedOn w:val="Normalny"/>
    <w:next w:val="Normalny"/>
    <w:uiPriority w:val="99"/>
    <w:rsid w:val="0072009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72009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72009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20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96"/>
    <w:rPr>
      <w:rFonts w:ascii="Segoe UI" w:eastAsia="Humanst521EU-Normal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096"/>
    <w:pPr>
      <w:widowControl w:val="0"/>
      <w:autoSpaceDE w:val="0"/>
      <w:autoSpaceDN w:val="0"/>
      <w:spacing w:after="0" w:line="240" w:lineRule="auto"/>
    </w:pPr>
    <w:rPr>
      <w:rFonts w:ascii="Segoe UI" w:eastAsia="Humanst521EU-Normal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72009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09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096"/>
    <w:rPr>
      <w:rFonts w:ascii="Humanst521EU-Normal" w:eastAsia="Humanst521EU-Normal" w:hAnsi="Humanst521EU-Normal" w:cs="Humanst521EU-Norm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096"/>
    <w:rPr>
      <w:rFonts w:ascii="Humanst521EU-Normal" w:eastAsia="Humanst521EU-Normal" w:hAnsi="Humanst521EU-Normal" w:cs="Humanst521EU-Norm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09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20096"/>
    <w:rPr>
      <w:rFonts w:ascii="Humanst521EU-Normal" w:eastAsia="Humanst521EU-Normal" w:hAnsi="Humanst521EU-Normal" w:cs="Humanst521EU-Norm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6754</Words>
  <Characters>40524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2023-09-17T12:49:00Z</dcterms:created>
  <dcterms:modified xsi:type="dcterms:W3CDTF">2023-09-17T12:49:00Z</dcterms:modified>
</cp:coreProperties>
</file>